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90622" w14:textId="77777777" w:rsidR="00AF3D12" w:rsidRPr="00857EE7" w:rsidRDefault="00AF3D12" w:rsidP="006B21B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1D163A" w14:textId="77777777" w:rsidR="00020D18" w:rsidRPr="00857EE7" w:rsidRDefault="00020D18" w:rsidP="00020D18">
      <w:pPr>
        <w:spacing w:line="24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b/>
          <w:sz w:val="24"/>
          <w:szCs w:val="24"/>
          <w:lang w:val="sr-Cyrl-RS"/>
        </w:rPr>
        <w:t>Н А Ц Р Т</w:t>
      </w:r>
    </w:p>
    <w:p w14:paraId="0BEA7AAD" w14:textId="77777777" w:rsidR="00020D18" w:rsidRPr="00857EE7" w:rsidRDefault="00020D18" w:rsidP="00020D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70FCE4" w14:textId="27CB854E" w:rsidR="00020D18" w:rsidRPr="00857EE7" w:rsidRDefault="000F7862" w:rsidP="00020D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</w:t>
      </w:r>
      <w:r w:rsidRPr="00857EE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члана 23. став 1. Закона о електронским комуникацијама („Службени гласник РС“, бр. 44/10, 60/13-УС, 62/14 и </w:t>
      </w:r>
      <w:r w:rsidRPr="00857EE7">
        <w:rPr>
          <w:rFonts w:ascii="Times New Roman" w:hAnsi="Times New Roman"/>
          <w:sz w:val="24"/>
          <w:szCs w:val="24"/>
          <w:lang w:val="sr-Cyrl-RS"/>
        </w:rPr>
        <w:t>95/18-др.закон),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 члана 11б. став 3. Закона о информационој безбедности („Службени гласник РСˮ, бр. 6/16, 94/17 и 77/19) и </w:t>
      </w:r>
      <w:r w:rsidRPr="00857EE7">
        <w:rPr>
          <w:rFonts w:ascii="Times New Roman" w:hAnsi="Times New Roman"/>
          <w:sz w:val="24"/>
          <w:szCs w:val="24"/>
          <w:lang w:val="sr-Cyrl-RS"/>
        </w:rPr>
        <w:t xml:space="preserve">члана 16. тачка 4) Статута Регулаторне агенције за електронске комуникације и поштанске услуге („Службени гласник РС“, бр.125/14 и 30/16), </w:t>
      </w:r>
    </w:p>
    <w:p w14:paraId="32A27997" w14:textId="77777777" w:rsidR="00020D18" w:rsidRPr="00857EE7" w:rsidRDefault="00020D18" w:rsidP="00020D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E1F69A1" w14:textId="45C5D063" w:rsidR="00020D18" w:rsidRPr="00857EE7" w:rsidRDefault="000F7862" w:rsidP="00020D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7EE7">
        <w:rPr>
          <w:rFonts w:ascii="Times New Roman" w:hAnsi="Times New Roman"/>
          <w:sz w:val="24"/>
          <w:szCs w:val="24"/>
          <w:lang w:val="sr-Cyrl-RS"/>
        </w:rPr>
        <w:tab/>
        <w:t>Управни одбор Регулаторне агенције за електронске комуникације и поштанске услуге, као надлежне за послове Националног центра за превенцију безбедносних ризика у информационо-комуникационим системима, на ____седници трећег сазива одржаној дана__________ године, доноси</w:t>
      </w:r>
    </w:p>
    <w:p w14:paraId="1D80287E" w14:textId="77777777" w:rsidR="00890DA6" w:rsidRPr="00857EE7" w:rsidRDefault="00890DA6" w:rsidP="006B21B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9E19A7" w14:textId="77777777" w:rsidR="00254902" w:rsidRPr="00857EE7" w:rsidRDefault="00254902" w:rsidP="0025490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ПРАВИЛНИК</w:t>
      </w:r>
    </w:p>
    <w:p w14:paraId="444AF821" w14:textId="77777777" w:rsidR="006B37EF" w:rsidRPr="00857EE7" w:rsidRDefault="006B37EF" w:rsidP="0086799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о врсти, форми и начину достављања  статистичких података о </w:t>
      </w:r>
    </w:p>
    <w:p w14:paraId="0B1DE960" w14:textId="10F54BF4" w:rsidR="006B37EF" w:rsidRPr="00857EE7" w:rsidRDefault="006B37EF" w:rsidP="0086799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 инцидентима у информационо-комуникационим</w:t>
      </w:r>
    </w:p>
    <w:p w14:paraId="158EC41F" w14:textId="77777777" w:rsidR="006B37EF" w:rsidRPr="00857EE7" w:rsidRDefault="006B37EF" w:rsidP="0086799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sz w:val="24"/>
          <w:szCs w:val="24"/>
          <w:lang w:val="sr-Cyrl-RS"/>
        </w:rPr>
        <w:t>системима од посебног значаја</w:t>
      </w:r>
      <w:bookmarkStart w:id="0" w:name="_GoBack"/>
      <w:bookmarkEnd w:id="0"/>
    </w:p>
    <w:p w14:paraId="21068E3D" w14:textId="77777777" w:rsidR="006327CE" w:rsidRPr="00857EE7" w:rsidRDefault="006327CE" w:rsidP="0025490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38B7DC0" w14:textId="2D6F8E48" w:rsidR="006327CE" w:rsidRPr="00857EE7" w:rsidRDefault="000F7862" w:rsidP="006327CE">
      <w:pPr>
        <w:pStyle w:val="ListParagraph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Уводне одредбе</w:t>
      </w:r>
    </w:p>
    <w:p w14:paraId="6963DC14" w14:textId="77777777" w:rsidR="00187021" w:rsidRPr="00857EE7" w:rsidRDefault="00187021" w:rsidP="00187021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6FEE759" w14:textId="77777777" w:rsidR="00254902" w:rsidRPr="00857EE7" w:rsidRDefault="00254902" w:rsidP="002549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1.</w:t>
      </w:r>
    </w:p>
    <w:p w14:paraId="0D3A461C" w14:textId="31CE30B6" w:rsidR="006B37EF" w:rsidRPr="00857EE7" w:rsidRDefault="000F7862" w:rsidP="0086799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Овим правилником ближе се прописују врста, форма и начин достављања статистичких података о свим инцидентима </w:t>
      </w:r>
      <w:r w:rsidR="00875706" w:rsidRPr="00857EE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информационо-комуникациони</w:t>
      </w:r>
      <w:r w:rsidR="00875706" w:rsidRPr="00857EE7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 систем</w:t>
      </w:r>
      <w:r w:rsidR="00875706" w:rsidRPr="00857EE7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а (у даљем тексту: ИКТ системи) од посебног значаја уписаних у eвиденцију оператора ИКТ система од посебног значаја (у даљем тексту: Евиденција), на годишњем нивоу. </w:t>
      </w:r>
    </w:p>
    <w:p w14:paraId="15A74E1E" w14:textId="03EE218A" w:rsidR="006B37EF" w:rsidRPr="00857EE7" w:rsidRDefault="000F7862" w:rsidP="00867993">
      <w:pPr>
        <w:pStyle w:val="ListParagraph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Врста статистичких података</w:t>
      </w:r>
    </w:p>
    <w:p w14:paraId="4E6C8706" w14:textId="77777777" w:rsidR="00254902" w:rsidRPr="00857EE7" w:rsidRDefault="00254902" w:rsidP="002549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2.</w:t>
      </w:r>
    </w:p>
    <w:p w14:paraId="68670E37" w14:textId="32D8913E" w:rsidR="006B37EF" w:rsidRPr="00857EE7" w:rsidRDefault="000F7862" w:rsidP="0086799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Врста статистичких података о свим инцидентима у ИКТ систему од посебног значаја утврђена је у </w:t>
      </w:r>
      <w:r w:rsidR="00F131CC" w:rsidRPr="00857EE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>брасцу</w:t>
      </w:r>
      <w:r w:rsidR="00F131CC"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 ИСП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1CC"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>ИЗВЕШТАЈ О СТАТИСТИЧКИМ ПОДАЦИМА О СВИМ ИНЦИДЕНТИМА У ИКТ СИСТЕМИМА ОД ПОСЕБНОГ ЗНАЧАЈА (у даљ</w:t>
      </w:r>
      <w:r w:rsidR="00852DFF" w:rsidRPr="00857EE7">
        <w:rPr>
          <w:rFonts w:ascii="Times New Roman" w:hAnsi="Times New Roman" w:cs="Times New Roman"/>
          <w:sz w:val="24"/>
          <w:szCs w:val="24"/>
          <w:lang w:val="sr-Cyrl-RS"/>
        </w:rPr>
        <w:t>ем тексту: Обра</w:t>
      </w:r>
      <w:r w:rsidR="00F131CC" w:rsidRPr="00857EE7">
        <w:rPr>
          <w:rFonts w:ascii="Times New Roman" w:hAnsi="Times New Roman" w:cs="Times New Roman"/>
          <w:sz w:val="24"/>
          <w:szCs w:val="24"/>
          <w:lang w:val="sr-Cyrl-RS"/>
        </w:rPr>
        <w:t>зац</w:t>
      </w:r>
      <w:r w:rsidR="00852DFF"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5FB4" w:rsidRPr="00857EE7">
        <w:rPr>
          <w:rFonts w:ascii="Times New Roman" w:hAnsi="Times New Roman" w:cs="Times New Roman"/>
          <w:sz w:val="24"/>
          <w:szCs w:val="24"/>
          <w:lang w:val="sr-Cyrl-RS"/>
        </w:rPr>
        <w:t>ИСП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), који је одштампан уз овај правилник и чини његов саставни део. </w:t>
      </w:r>
    </w:p>
    <w:p w14:paraId="167F206F" w14:textId="719BD608" w:rsidR="006B37EF" w:rsidRPr="00857EE7" w:rsidRDefault="001B64C0" w:rsidP="0086799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sz w:val="24"/>
          <w:szCs w:val="24"/>
          <w:lang w:val="sr-Cyrl-RS"/>
        </w:rPr>
        <w:t>Образац</w:t>
      </w:r>
      <w:r w:rsidR="002D6063"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45FB4"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ИСП </w:t>
      </w:r>
      <w:r w:rsidR="00064809"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из става 1. овог члана </w:t>
      </w:r>
      <w:r w:rsidR="002D6063" w:rsidRPr="00857EE7">
        <w:rPr>
          <w:rFonts w:ascii="Times New Roman" w:hAnsi="Times New Roman" w:cs="Times New Roman"/>
          <w:sz w:val="24"/>
          <w:szCs w:val="24"/>
          <w:lang w:val="sr-Cyrl-RS"/>
        </w:rPr>
        <w:t>садржи</w:t>
      </w:r>
      <w:r w:rsidR="00064809"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 податке о </w:t>
      </w:r>
      <w:r w:rsidR="00875706"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оператору </w:t>
      </w:r>
      <w:r w:rsidR="00064809" w:rsidRPr="00857EE7">
        <w:rPr>
          <w:rFonts w:ascii="Times New Roman" w:hAnsi="Times New Roman" w:cs="Times New Roman"/>
          <w:sz w:val="24"/>
          <w:szCs w:val="24"/>
          <w:lang w:val="sr-Cyrl-RS"/>
        </w:rPr>
        <w:t>ИКТ систем</w:t>
      </w:r>
      <w:r w:rsidR="00875706" w:rsidRPr="00857EE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64809"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 од посебног значаја и листу инцидената према врстама</w:t>
      </w:r>
      <w:r w:rsidR="000F52DF" w:rsidRPr="00857EE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60C0191" w14:textId="72A94D92" w:rsidR="006B37EF" w:rsidRPr="00857EE7" w:rsidRDefault="00064809" w:rsidP="0086799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Подаци о </w:t>
      </w:r>
      <w:r w:rsidR="00875706"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оператору </w:t>
      </w:r>
      <w:r w:rsidR="001D7E7C" w:rsidRPr="00857EE7">
        <w:rPr>
          <w:rFonts w:ascii="Times New Roman" w:hAnsi="Times New Roman" w:cs="Times New Roman"/>
          <w:sz w:val="24"/>
          <w:szCs w:val="24"/>
          <w:lang w:val="sr-Cyrl-RS"/>
        </w:rPr>
        <w:t>ИКТ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 систем</w:t>
      </w:r>
      <w:r w:rsidR="00875706" w:rsidRPr="00857EE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 од посебног значаја </w:t>
      </w:r>
      <w:r w:rsidR="007B74B2" w:rsidRPr="00857EE7">
        <w:rPr>
          <w:rFonts w:ascii="Times New Roman" w:hAnsi="Times New Roman" w:cs="Times New Roman"/>
          <w:sz w:val="24"/>
          <w:szCs w:val="24"/>
          <w:lang w:val="sr-Cyrl-RS"/>
        </w:rPr>
        <w:t>односе се на:</w:t>
      </w:r>
      <w:r w:rsidR="002D6063"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1" w:name="_Hlk27587355"/>
      <w:r w:rsidR="007D138E" w:rsidRPr="00857EE7">
        <w:rPr>
          <w:rFonts w:ascii="Times New Roman" w:hAnsi="Times New Roman" w:cs="Times New Roman"/>
          <w:sz w:val="24"/>
          <w:szCs w:val="24"/>
          <w:lang w:val="sr-Cyrl-RS"/>
        </w:rPr>
        <w:t>пуно пословно име оператора, с</w:t>
      </w:r>
      <w:r w:rsidR="007B74B2" w:rsidRPr="00857EE7">
        <w:rPr>
          <w:rFonts w:ascii="Times New Roman" w:hAnsi="Times New Roman" w:cs="Times New Roman"/>
          <w:sz w:val="24"/>
          <w:szCs w:val="24"/>
          <w:lang w:val="sr-Cyrl-RS"/>
        </w:rPr>
        <w:t>едиште оператора, адресу за</w:t>
      </w:r>
      <w:r w:rsidR="000B6829"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 контакт, матични број, овлашћено лице</w:t>
      </w:r>
      <w:r w:rsidR="007B74B2" w:rsidRPr="00857EE7">
        <w:rPr>
          <w:rFonts w:ascii="Times New Roman" w:hAnsi="Times New Roman" w:cs="Times New Roman"/>
          <w:sz w:val="24"/>
          <w:szCs w:val="24"/>
          <w:lang w:val="sr-Cyrl-RS"/>
        </w:rPr>
        <w:t>, контакт особу, телефон контакт особе, е-mail контакт особе, интернет страницу и укупан број IP уређаја.</w:t>
      </w:r>
    </w:p>
    <w:bookmarkEnd w:id="1"/>
    <w:p w14:paraId="35A4D6D7" w14:textId="4DDB0EAA" w:rsidR="006B37EF" w:rsidRPr="00857EE7" w:rsidRDefault="001D7E7C" w:rsidP="0086799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Листа инцидената према врстама </w:t>
      </w:r>
      <w:r w:rsidR="007B74B2" w:rsidRPr="00857EE7">
        <w:rPr>
          <w:rFonts w:ascii="Times New Roman" w:hAnsi="Times New Roman" w:cs="Times New Roman"/>
          <w:sz w:val="24"/>
          <w:szCs w:val="24"/>
          <w:lang w:val="sr-Cyrl-RS"/>
        </w:rPr>
        <w:t>садржи групе инцидената, врсте инцидената</w:t>
      </w:r>
      <w:r w:rsidR="007D138E"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 у оквиру те групе</w:t>
      </w:r>
      <w:r w:rsidR="007B74B2"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 и број инцидената, и то:</w:t>
      </w:r>
    </w:p>
    <w:p w14:paraId="0FD2D4AB" w14:textId="6D573A0D" w:rsidR="006B37EF" w:rsidRPr="00857EE7" w:rsidRDefault="006B37EF" w:rsidP="00867993">
      <w:pPr>
        <w:pStyle w:val="ListParagraph"/>
        <w:numPr>
          <w:ilvl w:val="0"/>
          <w:numId w:val="10"/>
        </w:numPr>
        <w:tabs>
          <w:tab w:val="left" w:pos="1206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7EE7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lastRenderedPageBreak/>
        <w:t xml:space="preserve">Инсталирање злонамерног софтвера у оквиру ИКТ система: </w:t>
      </w:r>
      <w:r w:rsidR="00921A65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м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алвер</w:t>
      </w:r>
      <w:r w:rsidR="00921A65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(енгл. </w:t>
      </w:r>
      <w:r w:rsidRPr="00857EE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malware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),</w:t>
      </w:r>
      <w:r w:rsidR="000F7862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21A65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в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ирус, </w:t>
      </w:r>
      <w:r w:rsidR="00921A65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ц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рв</w:t>
      </w:r>
      <w:r w:rsidR="000F7862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(енгл. </w:t>
      </w:r>
      <w:r w:rsidRPr="00857EE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worm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921A65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р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ансомвер</w:t>
      </w:r>
      <w:r w:rsidR="000F7862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(енгл. </w:t>
      </w:r>
      <w:r w:rsidRPr="00857EE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ransomware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C50CBA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Т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ројанац, </w:t>
      </w:r>
      <w:r w:rsidR="00921A65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ш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пијунски софтвер</w:t>
      </w:r>
      <w:r w:rsidR="000F7862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(енгл. </w:t>
      </w:r>
      <w:r w:rsidRPr="00857EE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spyware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0F7862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21A65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р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уткит</w:t>
      </w:r>
      <w:r w:rsidR="000F7862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(енгл. </w:t>
      </w:r>
      <w:r w:rsidRPr="00857EE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rootkit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0F7862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14:paraId="26356071" w14:textId="7E4F3390" w:rsidR="006B37EF" w:rsidRPr="00857EE7" w:rsidRDefault="006B37EF" w:rsidP="00867993">
      <w:pPr>
        <w:pStyle w:val="ListParagraph"/>
        <w:numPr>
          <w:ilvl w:val="0"/>
          <w:numId w:val="10"/>
        </w:numPr>
        <w:tabs>
          <w:tab w:val="left" w:pos="1206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7EE7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Неовлашћено прикупљање података: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F5195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кенирање портова, </w:t>
      </w:r>
      <w:r w:rsidR="008F5195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ресретање података између рачунара и сервера (енгл. </w:t>
      </w:r>
      <w:r w:rsidRPr="00857EE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sniffing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8F5195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оцијални инжењеринг</w:t>
      </w:r>
      <w:r w:rsidR="000F7862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(лажно представљање и други облици)</w:t>
      </w:r>
      <w:r w:rsidR="000F7862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F5195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="000F7862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овреда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података (енгл. </w:t>
      </w:r>
      <w:r w:rsidRPr="00857EE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data breaches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0F7862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14:paraId="68C18AFE" w14:textId="0D809026" w:rsidR="006B37EF" w:rsidRPr="00857EE7" w:rsidRDefault="006B37EF" w:rsidP="00867993">
      <w:pPr>
        <w:pStyle w:val="ListParagraph"/>
        <w:numPr>
          <w:ilvl w:val="0"/>
          <w:numId w:val="10"/>
        </w:numPr>
        <w:tabs>
          <w:tab w:val="left" w:pos="1206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Превара: </w:t>
      </w:r>
      <w:r w:rsidR="008F5195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ф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ишинг (енгл. </w:t>
      </w:r>
      <w:r w:rsidRPr="00857EE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phishing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и </w:t>
      </w:r>
      <w:r w:rsidR="008F5195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н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еовлашћено коришћење ресурса</w:t>
      </w:r>
      <w:r w:rsidR="000F7862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(енгл. </w:t>
      </w:r>
      <w:r w:rsidRPr="00857EE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cryptojacking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други облици)</w:t>
      </w:r>
      <w:r w:rsidR="000F7862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14:paraId="63FE1819" w14:textId="227520C4" w:rsidR="006B37EF" w:rsidRPr="00857EE7" w:rsidRDefault="000F7862" w:rsidP="00867993">
      <w:pPr>
        <w:pStyle w:val="ListParagraph"/>
        <w:numPr>
          <w:ilvl w:val="0"/>
          <w:numId w:val="10"/>
        </w:numPr>
        <w:tabs>
          <w:tab w:val="left" w:pos="1206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7EE7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Покушаји упада у ИКТ систем: </w:t>
      </w:r>
      <w:r w:rsidR="008F5195" w:rsidRPr="00857EE7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п</w:t>
      </w:r>
      <w:r w:rsidRPr="00857EE7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окушај искоришћавања рањивости система и покушај откривања налога 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(енгл. </w:t>
      </w:r>
      <w:r w:rsidRPr="00857EE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brute force attack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14:paraId="25EF7184" w14:textId="20A27F16" w:rsidR="006B37EF" w:rsidRPr="00857EE7" w:rsidRDefault="006B37EF" w:rsidP="00867993">
      <w:pPr>
        <w:pStyle w:val="ListParagraph"/>
        <w:numPr>
          <w:ilvl w:val="0"/>
          <w:numId w:val="10"/>
        </w:numPr>
        <w:tabs>
          <w:tab w:val="left" w:pos="1206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Упад у ИКТ систем: </w:t>
      </w:r>
      <w:r w:rsidR="006E74CD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ткривање или неовлашћено коришћење привилегованих налога</w:t>
      </w:r>
      <w:r w:rsidR="00B45FB4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(енгл. </w:t>
      </w:r>
      <w:r w:rsidRPr="00857EE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privileged account compromise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0F7862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6E74CD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ткривање или неовлашћено коришћење непривилегованих </w:t>
      </w:r>
      <w:r w:rsidR="00901A41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налога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(енгл.</w:t>
      </w:r>
      <w:r w:rsidR="00B45FB4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57EE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unprivileged account compromise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),</w:t>
      </w:r>
      <w:r w:rsidR="006E74CD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еовлашћени приступ апликацији и </w:t>
      </w:r>
      <w:r w:rsidR="006E74CD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м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режа ботова (енгл. </w:t>
      </w:r>
      <w:r w:rsidRPr="00857EE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botnet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14:paraId="6DE2A726" w14:textId="5C32B072" w:rsidR="006B37EF" w:rsidRPr="00857EE7" w:rsidRDefault="006B37EF" w:rsidP="00867993">
      <w:pPr>
        <w:pStyle w:val="ListParagraph"/>
        <w:numPr>
          <w:ilvl w:val="0"/>
          <w:numId w:val="10"/>
        </w:numPr>
        <w:tabs>
          <w:tab w:val="left" w:pos="1206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Недоступност или ограничена доступност ИКТ система: </w:t>
      </w:r>
      <w:r w:rsidR="006E74CD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н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апад са циљем онемогућавања или ометања функционисања ИКТ система </w:t>
      </w:r>
      <w:r w:rsidR="006E74CD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енгл.</w:t>
      </w:r>
      <w:r w:rsidR="00782D56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57EE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denial-of-service attack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DoS), </w:t>
      </w:r>
      <w:r w:rsidR="006E74CD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в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ишеструки </w:t>
      </w:r>
      <w:r w:rsidRPr="00857EE7">
        <w:rPr>
          <w:rFonts w:ascii="Calibri" w:eastAsia="Calibri" w:hAnsi="Calibri" w:cs="Times New Roman"/>
          <w:lang w:val="sr-Cyrl-RS"/>
        </w:rPr>
        <w:t xml:space="preserve"> 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напад са циљем онемогућавања или ометања функционисања ИКТ система</w:t>
      </w:r>
      <w:r w:rsidR="000F7862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(енгл.</w:t>
      </w:r>
      <w:r w:rsidR="006E74CD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57EE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distributed denial-of-service attack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DDoS), </w:t>
      </w:r>
      <w:r w:rsidR="006E74CD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аботажа</w:t>
      </w:r>
      <w:r w:rsidR="000F7862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</w:t>
      </w:r>
      <w:r w:rsidR="006E74CD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рекид у функционисању система или дела система</w:t>
      </w:r>
      <w:r w:rsidR="000F7862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(енгл.</w:t>
      </w:r>
      <w:r w:rsidRPr="00857EE7">
        <w:rPr>
          <w:rFonts w:ascii="Calibri" w:eastAsia="Calibri" w:hAnsi="Calibri" w:cs="Times New Roman"/>
          <w:lang w:val="sr-Cyrl-RS"/>
        </w:rPr>
        <w:t xml:space="preserve"> </w:t>
      </w:r>
      <w:r w:rsidRPr="00857EE7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outage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0F7862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14:paraId="2B33409C" w14:textId="77777777" w:rsidR="006B37EF" w:rsidRPr="00857EE7" w:rsidRDefault="000F7862" w:rsidP="00867993">
      <w:pPr>
        <w:pStyle w:val="ListParagraph"/>
        <w:numPr>
          <w:ilvl w:val="0"/>
          <w:numId w:val="10"/>
        </w:numPr>
        <w:tabs>
          <w:tab w:val="left" w:pos="1206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Угрожавање безбедности података:</w:t>
      </w:r>
      <w:r w:rsidR="00782D56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74CD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н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еовлашћени приступ подацима, </w:t>
      </w:r>
      <w:r w:rsidR="006E74CD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не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овлашћена измена података и </w:t>
      </w:r>
      <w:r w:rsidR="006E74CD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риптографски напад;</w:t>
      </w:r>
    </w:p>
    <w:p w14:paraId="68427869" w14:textId="0651F09C" w:rsidR="006B37EF" w:rsidRPr="00857EE7" w:rsidRDefault="000F7862" w:rsidP="00867993">
      <w:pPr>
        <w:pStyle w:val="ListParagraph"/>
        <w:numPr>
          <w:ilvl w:val="0"/>
          <w:numId w:val="10"/>
        </w:numPr>
        <w:tabs>
          <w:tab w:val="left" w:pos="1206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Остали инциденти, </w:t>
      </w:r>
      <w:r w:rsidR="00B45FB4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односно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D6001"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857EE7">
        <w:rPr>
          <w:rFonts w:ascii="Times New Roman" w:eastAsia="Calibri" w:hAnsi="Times New Roman" w:cs="Times New Roman"/>
          <w:sz w:val="24"/>
          <w:szCs w:val="24"/>
          <w:lang w:val="sr-Cyrl-RS"/>
        </w:rPr>
        <w:t>нциденти који не спадају у горе наведене категорије.</w:t>
      </w:r>
    </w:p>
    <w:p w14:paraId="591248E2" w14:textId="77777777" w:rsidR="006B37EF" w:rsidRPr="00857EE7" w:rsidRDefault="006B37EF" w:rsidP="00867993">
      <w:pPr>
        <w:pStyle w:val="ListParagraph"/>
        <w:tabs>
          <w:tab w:val="left" w:pos="1206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2D82DFCB" w14:textId="77777777" w:rsidR="006B37EF" w:rsidRPr="00857EE7" w:rsidRDefault="000F7862" w:rsidP="00867993">
      <w:pPr>
        <w:pStyle w:val="ListParagraph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Ф</w:t>
      </w:r>
      <w:r w:rsidR="006B37EF" w:rsidRPr="00857EE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орма и начин достављања</w:t>
      </w:r>
      <w:r w:rsidRPr="00857EE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статистичких података</w:t>
      </w:r>
    </w:p>
    <w:p w14:paraId="10D0327C" w14:textId="77777777" w:rsidR="006B37EF" w:rsidRPr="00857EE7" w:rsidRDefault="006B37EF" w:rsidP="00867993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E2D7A51" w14:textId="1088347E" w:rsidR="006B37EF" w:rsidRPr="00857EE7" w:rsidRDefault="000F7862" w:rsidP="008679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Члан </w:t>
      </w:r>
      <w:r w:rsidR="006C4E47" w:rsidRPr="00857EE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  <w:r w:rsidRPr="00857EE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51BA42E7" w14:textId="6018C5F6" w:rsidR="006B37EF" w:rsidRPr="00857EE7" w:rsidRDefault="000F7862" w:rsidP="0086799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Оператори ИКТ система од посебног значаја </w:t>
      </w:r>
      <w:r w:rsidR="00C35ACC"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тачне 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>статистичке податаке о свим инцидентима у ИКТ систему достављају електр</w:t>
      </w:r>
      <w:r w:rsidR="00B45FB4" w:rsidRPr="00857EE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нским путем, односно попуњавањем </w:t>
      </w:r>
      <w:r w:rsidR="00B45FB4"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Обрасца 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B64C0" w:rsidRPr="00857EE7">
        <w:rPr>
          <w:rFonts w:ascii="Times New Roman" w:hAnsi="Times New Roman" w:cs="Times New Roman"/>
          <w:sz w:val="24"/>
          <w:szCs w:val="24"/>
          <w:lang w:val="sr-Cyrl-RS"/>
        </w:rPr>
        <w:t>СП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 на интернет страници </w:t>
      </w:r>
      <w:r w:rsidRPr="00857EE7">
        <w:rPr>
          <w:rFonts w:ascii="Times New Roman" w:hAnsi="Times New Roman"/>
          <w:sz w:val="24"/>
          <w:szCs w:val="24"/>
          <w:lang w:val="sr-Cyrl-RS"/>
        </w:rPr>
        <w:t xml:space="preserve">Националног центра за превенцију безбедносних ризика у информационо-комуникационим системима (у даљем тексту: 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Национални ЦЕРТ). </w:t>
      </w:r>
    </w:p>
    <w:p w14:paraId="793E9429" w14:textId="2B347EC7" w:rsidR="006C4E47" w:rsidRPr="00857EE7" w:rsidRDefault="000F7862" w:rsidP="00867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Оператори ИКТ система од посебног значаја су дужни да </w:t>
      </w:r>
      <w:r w:rsidR="0092413A" w:rsidRPr="00857EE7">
        <w:rPr>
          <w:rFonts w:ascii="Times New Roman" w:hAnsi="Times New Roman" w:cs="Times New Roman"/>
          <w:sz w:val="24"/>
          <w:szCs w:val="24"/>
          <w:lang w:val="sr-Cyrl-RS"/>
        </w:rPr>
        <w:t>Образац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5FB4"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ИСП </w:t>
      </w:r>
      <w:r w:rsidR="006C4E47"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попуњен са статистичким подацима о свим инцидентима у ИКТ систему </w:t>
      </w:r>
      <w:r w:rsidR="00875706"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од посебног значаја 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за претходну годину доставе најкасније до 28. фебруара текуће године. </w:t>
      </w:r>
    </w:p>
    <w:p w14:paraId="6207B587" w14:textId="77777777" w:rsidR="006C4E47" w:rsidRPr="00857EE7" w:rsidRDefault="006C4E47" w:rsidP="00867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18CA0F" w14:textId="17F0664C" w:rsidR="006C4E47" w:rsidRPr="00857EE7" w:rsidRDefault="004B7CB3" w:rsidP="0086799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b/>
          <w:sz w:val="24"/>
          <w:szCs w:val="24"/>
          <w:lang w:val="sr-Cyrl-RS"/>
        </w:rPr>
        <w:t>IV.</w:t>
      </w:r>
      <w:r w:rsidR="00552A0C" w:rsidRPr="00857EE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B37EF" w:rsidRPr="00857EE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Поступање </w:t>
      </w:r>
      <w:r w:rsidR="00981A48" w:rsidRPr="00857EE7">
        <w:rPr>
          <w:rFonts w:ascii="Times New Roman" w:hAnsi="Times New Roman" w:cs="Times New Roman"/>
          <w:b/>
          <w:sz w:val="24"/>
          <w:szCs w:val="24"/>
          <w:lang w:val="sr-Cyrl-RS"/>
        </w:rPr>
        <w:t>и руковање</w:t>
      </w:r>
      <w:r w:rsidR="006B37EF" w:rsidRPr="00857EE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достављеним  статистичким подацима</w:t>
      </w:r>
    </w:p>
    <w:p w14:paraId="74289167" w14:textId="77777777" w:rsidR="006B37EF" w:rsidRPr="00857EE7" w:rsidRDefault="006B37EF" w:rsidP="00867993">
      <w:pPr>
        <w:pStyle w:val="ListParagraph"/>
        <w:spacing w:after="0"/>
        <w:jc w:val="center"/>
        <w:rPr>
          <w:b/>
          <w:bCs/>
          <w:lang w:val="sr-Cyrl-RS"/>
        </w:rPr>
      </w:pPr>
    </w:p>
    <w:p w14:paraId="535F0744" w14:textId="67C9E8D8" w:rsidR="00254902" w:rsidRPr="00857EE7" w:rsidRDefault="000F7862" w:rsidP="00C3310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Члан </w:t>
      </w:r>
      <w:r w:rsidR="006C4E47" w:rsidRPr="00857EE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Pr="00857EE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7FA69670" w14:textId="0F0BB528" w:rsidR="006B37EF" w:rsidRPr="00857EE7" w:rsidRDefault="000F7862" w:rsidP="0086799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Обраду статистичких података, који су достављени у складу са начином прописаним чланом </w:t>
      </w:r>
      <w:r w:rsidR="00875706" w:rsidRPr="00857EE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>. овог правилника, Национални ЦЕРТ врши према врсти инцидената, као и према другим критеријумима који су од значаја за сагледавање стања о безбедносним ризицима и инцидентима на националном нивоу.</w:t>
      </w:r>
    </w:p>
    <w:p w14:paraId="08763E64" w14:textId="447CB8E1" w:rsidR="006B37EF" w:rsidRPr="00857EE7" w:rsidRDefault="000F7862" w:rsidP="00867993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Национални ЦЕРТ обједињује статистичке податке </w:t>
      </w:r>
      <w:r w:rsidR="00875706"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из става 1. овог члана 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у форми Годишњег извештаја </w:t>
      </w:r>
      <w:r w:rsidR="006C4E47" w:rsidRPr="00857EE7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 доставља министарству надлежном за послове информационе 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безбедности (у даљем тексту: Надлежни орган) и </w:t>
      </w:r>
      <w:r w:rsidR="006C4E47"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исти 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објављује на својој интернет страници најкасније до краја другог тромесечја текуће године.   </w:t>
      </w:r>
    </w:p>
    <w:p w14:paraId="3B444970" w14:textId="080A30EA" w:rsidR="000F3C7D" w:rsidRPr="00857EE7" w:rsidRDefault="000F7862" w:rsidP="004409B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Члан </w:t>
      </w:r>
      <w:r w:rsidR="006C4E47" w:rsidRPr="00857EE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Pr="00857EE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45C20FA0" w14:textId="77777777" w:rsidR="006B37EF" w:rsidRPr="00857EE7" w:rsidRDefault="000F7862" w:rsidP="0086799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Појединачни подаци о операторима ИКТ система од посебног значаја из достављеног Извештаја о статистичким подацима не могу се јавно објављивати. </w:t>
      </w:r>
    </w:p>
    <w:p w14:paraId="40DE40F8" w14:textId="16452A19" w:rsidR="006B37EF" w:rsidRPr="00857EE7" w:rsidRDefault="000F7862" w:rsidP="0086799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Појединачни подаци из </w:t>
      </w:r>
      <w:r w:rsidR="00C7699F" w:rsidRPr="00857EE7">
        <w:rPr>
          <w:rFonts w:ascii="Times New Roman" w:hAnsi="Times New Roman" w:cs="Times New Roman"/>
          <w:sz w:val="24"/>
          <w:szCs w:val="24"/>
          <w:lang w:val="sr-Cyrl-RS"/>
        </w:rPr>
        <w:t>Обрасца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62"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ИСП 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>не могу се уступати трећим лицима без изричите сагласности оператора ИКТ система од посебног значаја.</w:t>
      </w:r>
    </w:p>
    <w:p w14:paraId="2E06888E" w14:textId="766CC663" w:rsidR="006B37EF" w:rsidRPr="00857EE7" w:rsidRDefault="000F7862" w:rsidP="0086799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sz w:val="24"/>
          <w:szCs w:val="24"/>
          <w:lang w:val="sr-Cyrl-RS"/>
        </w:rPr>
        <w:t>Сагласност из става 2. овог члана даје се у форми писане изјаве законског заступника оператора ИКТ система од посебног значаја.</w:t>
      </w:r>
    </w:p>
    <w:p w14:paraId="4BB18634" w14:textId="19A35622" w:rsidR="00254902" w:rsidRPr="00857EE7" w:rsidRDefault="000F7862" w:rsidP="00C3310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Члан </w:t>
      </w:r>
      <w:r w:rsidR="006C4E47" w:rsidRPr="00857EE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</w:t>
      </w:r>
      <w:r w:rsidRPr="00857EE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7A2E2327" w14:textId="13A5E1D7" w:rsidR="006B37EF" w:rsidRPr="00857EE7" w:rsidRDefault="000F7862" w:rsidP="0086799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Статистички подаци достављени након 28. фебруара текуће године неће бити </w:t>
      </w:r>
      <w:r w:rsidR="0059054B"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садржани 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>у Годишњ</w:t>
      </w:r>
      <w:r w:rsidR="0059054B" w:rsidRPr="00857EE7">
        <w:rPr>
          <w:rFonts w:ascii="Times New Roman" w:hAnsi="Times New Roman" w:cs="Times New Roman"/>
          <w:sz w:val="24"/>
          <w:szCs w:val="24"/>
          <w:lang w:val="sr-Cyrl-RS"/>
        </w:rPr>
        <w:t>ем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</w:t>
      </w:r>
      <w:r w:rsidR="0059054B" w:rsidRPr="00857EE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 Националног ЦЕРТ-а. </w:t>
      </w:r>
    </w:p>
    <w:p w14:paraId="79550997" w14:textId="436FCD6A" w:rsidR="006B37EF" w:rsidRPr="00857EE7" w:rsidRDefault="000F7862" w:rsidP="0086799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Листу оператора ИКТ система од посебног значаја који нису доставили податке у складу са начином прописаним чланом </w:t>
      </w:r>
      <w:r w:rsidR="0059054B" w:rsidRPr="00857EE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. овог </w:t>
      </w:r>
      <w:r w:rsidR="0059054B" w:rsidRPr="00857EE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>равилника, Национални ЦЕРТ доставља Надлежном органу најкасније до краја другог тромесечја текуће године.</w:t>
      </w:r>
    </w:p>
    <w:p w14:paraId="047A91C0" w14:textId="262F248D" w:rsidR="006B37EF" w:rsidRPr="00857EE7" w:rsidRDefault="000F7862" w:rsidP="00867993">
      <w:pPr>
        <w:pStyle w:val="ListParagraph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b/>
          <w:sz w:val="24"/>
          <w:szCs w:val="24"/>
          <w:lang w:val="sr-Cyrl-RS"/>
        </w:rPr>
        <w:t>Завршна одредба</w:t>
      </w:r>
    </w:p>
    <w:p w14:paraId="6D362626" w14:textId="77777777" w:rsidR="006327CE" w:rsidRPr="00857EE7" w:rsidRDefault="006327CE" w:rsidP="006327CE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16270DF" w14:textId="25801327" w:rsidR="000842EB" w:rsidRPr="00857EE7" w:rsidRDefault="000F7862" w:rsidP="000842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Члан </w:t>
      </w:r>
      <w:r w:rsidR="006C4E47" w:rsidRPr="00857EE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7</w:t>
      </w:r>
      <w:r w:rsidRPr="00857EE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4ED06C92" w14:textId="1B9E0DD5" w:rsidR="006B37EF" w:rsidRPr="00857EE7" w:rsidRDefault="000F7862" w:rsidP="00867993">
      <w:pPr>
        <w:pStyle w:val="NoSpacing"/>
        <w:ind w:firstLine="720"/>
        <w:jc w:val="both"/>
        <w:rPr>
          <w:lang w:val="sr-Cyrl-RS"/>
        </w:rPr>
      </w:pPr>
      <w:r w:rsidRPr="00857EE7">
        <w:rPr>
          <w:rFonts w:ascii="Times New Roman" w:hAnsi="Times New Roman" w:cs="Times New Roman"/>
          <w:sz w:val="24"/>
          <w:szCs w:val="24"/>
          <w:lang w:val="sr-Cyrl-RS"/>
        </w:rPr>
        <w:t>Овај правилник објављује се у „Службеном гласнику Републике Србије“ и ступа на снагу осмог дана од дана објављивања</w:t>
      </w:r>
      <w:r w:rsidR="006C4E47" w:rsidRPr="00857EE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CE1FE13" w14:textId="77777777" w:rsidR="00020D18" w:rsidRPr="00857EE7" w:rsidRDefault="00020D18" w:rsidP="00020D18">
      <w:pPr>
        <w:shd w:val="clear" w:color="auto" w:fill="FFFFFF"/>
        <w:ind w:firstLine="720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74DCDAFE" w14:textId="77777777" w:rsidR="00295EC0" w:rsidRPr="00857EE7" w:rsidRDefault="00295EC0" w:rsidP="00020D18">
      <w:pPr>
        <w:shd w:val="clear" w:color="auto" w:fill="FFFFFF"/>
        <w:ind w:firstLine="720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57CA3609" w14:textId="77777777" w:rsidR="00295EC0" w:rsidRPr="00857EE7" w:rsidRDefault="00295EC0" w:rsidP="00020D18">
      <w:pPr>
        <w:shd w:val="clear" w:color="auto" w:fill="FFFFFF"/>
        <w:ind w:firstLine="720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0387E98A" w14:textId="77777777" w:rsidR="00020D18" w:rsidRPr="00857EE7" w:rsidRDefault="00020D18" w:rsidP="00020D18">
      <w:pPr>
        <w:shd w:val="clear" w:color="auto" w:fill="FFFFFF"/>
        <w:ind w:firstLine="720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857EE7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                                                                                          ПРЕДСЕДНИК </w:t>
      </w:r>
      <w:r w:rsidRPr="00857EE7">
        <w:rPr>
          <w:rFonts w:ascii="Times New Roman" w:eastAsia="Times New Roman" w:hAnsi="Times New Roman"/>
          <w:b/>
          <w:sz w:val="24"/>
          <w:szCs w:val="24"/>
          <w:lang w:val="sr-Cyrl-RS"/>
        </w:rPr>
        <w:tab/>
      </w:r>
      <w:r w:rsidRPr="00857EE7">
        <w:rPr>
          <w:rFonts w:ascii="Times New Roman" w:eastAsia="Times New Roman" w:hAnsi="Times New Roman"/>
          <w:b/>
          <w:sz w:val="24"/>
          <w:szCs w:val="24"/>
          <w:lang w:val="sr-Cyrl-RS"/>
        </w:rPr>
        <w:tab/>
      </w:r>
      <w:r w:rsidRPr="00857EE7">
        <w:rPr>
          <w:rFonts w:ascii="Times New Roman" w:eastAsia="Times New Roman" w:hAnsi="Times New Roman"/>
          <w:b/>
          <w:sz w:val="24"/>
          <w:szCs w:val="24"/>
          <w:lang w:val="sr-Cyrl-RS"/>
        </w:rPr>
        <w:tab/>
      </w:r>
      <w:r w:rsidRPr="00857EE7">
        <w:rPr>
          <w:rFonts w:ascii="Times New Roman" w:eastAsia="Times New Roman" w:hAnsi="Times New Roman"/>
          <w:b/>
          <w:sz w:val="24"/>
          <w:szCs w:val="24"/>
          <w:lang w:val="sr-Cyrl-RS"/>
        </w:rPr>
        <w:tab/>
      </w:r>
      <w:r w:rsidRPr="00857EE7">
        <w:rPr>
          <w:rFonts w:ascii="Times New Roman" w:eastAsia="Times New Roman" w:hAnsi="Times New Roman"/>
          <w:b/>
          <w:sz w:val="24"/>
          <w:szCs w:val="24"/>
          <w:lang w:val="sr-Cyrl-RS"/>
        </w:rPr>
        <w:tab/>
      </w:r>
      <w:r w:rsidRPr="00857EE7">
        <w:rPr>
          <w:rFonts w:ascii="Times New Roman" w:eastAsia="Times New Roman" w:hAnsi="Times New Roman"/>
          <w:b/>
          <w:sz w:val="24"/>
          <w:szCs w:val="24"/>
          <w:lang w:val="sr-Cyrl-RS"/>
        </w:rPr>
        <w:tab/>
      </w:r>
      <w:r w:rsidRPr="00857EE7">
        <w:rPr>
          <w:rFonts w:ascii="Times New Roman" w:eastAsia="Times New Roman" w:hAnsi="Times New Roman"/>
          <w:b/>
          <w:sz w:val="24"/>
          <w:szCs w:val="24"/>
          <w:lang w:val="sr-Cyrl-RS"/>
        </w:rPr>
        <w:tab/>
      </w:r>
      <w:r w:rsidRPr="00857EE7">
        <w:rPr>
          <w:rFonts w:ascii="Times New Roman" w:eastAsia="Times New Roman" w:hAnsi="Times New Roman"/>
          <w:b/>
          <w:sz w:val="24"/>
          <w:szCs w:val="24"/>
          <w:lang w:val="sr-Cyrl-RS"/>
        </w:rPr>
        <w:tab/>
        <w:t xml:space="preserve">              УПРАВНОГ ОДБОРА</w:t>
      </w:r>
    </w:p>
    <w:p w14:paraId="101706B0" w14:textId="77777777" w:rsidR="00020D18" w:rsidRPr="00857EE7" w:rsidRDefault="00020D18" w:rsidP="00020D18">
      <w:pPr>
        <w:shd w:val="clear" w:color="auto" w:fill="FFFFFF"/>
        <w:ind w:firstLine="720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6074533F" w14:textId="19855ADB" w:rsidR="00AF3D12" w:rsidRPr="00857EE7" w:rsidRDefault="00020D18" w:rsidP="002549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7EE7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857EE7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857EE7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857EE7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857EE7">
        <w:rPr>
          <w:rFonts w:ascii="Times New Roman" w:eastAsia="Times New Roman" w:hAnsi="Times New Roman"/>
          <w:b/>
          <w:i/>
          <w:sz w:val="24"/>
          <w:szCs w:val="24"/>
          <w:lang w:val="sr-Cyrl-RS"/>
        </w:rPr>
        <w:t xml:space="preserve">                                                    Драган Ковачевић</w:t>
      </w:r>
    </w:p>
    <w:p w14:paraId="69AA8CD9" w14:textId="77777777" w:rsidR="00020D18" w:rsidRPr="00857EE7" w:rsidRDefault="00020D18" w:rsidP="00020D1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EA4F6D" w14:textId="77777777" w:rsidR="00020D18" w:rsidRPr="00857EE7" w:rsidRDefault="00020D18" w:rsidP="00020D18">
      <w:pPr>
        <w:shd w:val="clear" w:color="auto" w:fill="FFFFFF"/>
        <w:rPr>
          <w:rFonts w:ascii="Times New Roman" w:eastAsia="Times New Roman" w:hAnsi="Times New Roman"/>
          <w:sz w:val="24"/>
          <w:szCs w:val="24"/>
          <w:lang w:val="sr-Cyrl-RS"/>
        </w:rPr>
      </w:pPr>
      <w:r w:rsidRPr="00857EE7">
        <w:rPr>
          <w:rFonts w:ascii="Times New Roman" w:eastAsia="Times New Roman" w:hAnsi="Times New Roman"/>
          <w:sz w:val="24"/>
          <w:szCs w:val="24"/>
          <w:lang w:val="sr-Cyrl-RS"/>
        </w:rPr>
        <w:t xml:space="preserve">Број:   </w:t>
      </w:r>
      <w:r w:rsidRPr="00857EE7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857EE7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857EE7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857EE7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857EE7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857EE7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14:paraId="064695AA" w14:textId="005358ED" w:rsidR="00AF3D12" w:rsidRPr="00857EE7" w:rsidRDefault="00020D18" w:rsidP="002549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7EE7">
        <w:rPr>
          <w:rFonts w:ascii="Times New Roman" w:eastAsia="Times New Roman" w:hAnsi="Times New Roman"/>
          <w:sz w:val="24"/>
          <w:szCs w:val="24"/>
          <w:lang w:val="sr-Cyrl-RS"/>
        </w:rPr>
        <w:t>У Београду, ------20</w:t>
      </w:r>
      <w:r w:rsidR="00903FBD" w:rsidRPr="00857EE7">
        <w:rPr>
          <w:rFonts w:ascii="Times New Roman" w:eastAsia="Times New Roman" w:hAnsi="Times New Roman"/>
          <w:sz w:val="24"/>
          <w:szCs w:val="24"/>
          <w:lang w:val="sr-Cyrl-RS"/>
        </w:rPr>
        <w:t>20</w:t>
      </w:r>
      <w:r w:rsidRPr="00857EE7">
        <w:rPr>
          <w:rFonts w:ascii="Times New Roman" w:eastAsia="Times New Roman" w:hAnsi="Times New Roman"/>
          <w:sz w:val="24"/>
          <w:szCs w:val="24"/>
          <w:lang w:val="sr-Cyrl-RS"/>
        </w:rPr>
        <w:t>.  године</w:t>
      </w:r>
    </w:p>
    <w:p w14:paraId="5CE845D7" w14:textId="77777777" w:rsidR="00AF3D12" w:rsidRPr="00857EE7" w:rsidRDefault="00AF3D12" w:rsidP="002549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CC33F4" w14:textId="031F4B00" w:rsidR="00037473" w:rsidRPr="00857EE7" w:rsidRDefault="00037473" w:rsidP="000842EB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8CE85C" w14:textId="52BAF574" w:rsidR="006C4E47" w:rsidRPr="00857EE7" w:rsidRDefault="006C4E47" w:rsidP="000842EB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67406D" w14:textId="0345FF3C" w:rsidR="006C4E47" w:rsidRPr="00857EE7" w:rsidRDefault="006C4E47" w:rsidP="000842EB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5D40CB" w14:textId="77777777" w:rsidR="00903FBD" w:rsidRPr="00857EE7" w:rsidRDefault="00903FBD" w:rsidP="000842EB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F1F23B" w14:textId="77777777" w:rsidR="000A1AF9" w:rsidRPr="00857EE7" w:rsidRDefault="000842EB" w:rsidP="000842EB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Образац</w:t>
      </w:r>
      <w:r w:rsidR="00863090"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 ИСП    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DE68C0F" w14:textId="77777777" w:rsidR="000842EB" w:rsidRPr="00857EE7" w:rsidRDefault="00243A28" w:rsidP="000842E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857EE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ИЗВЕШТАЈ О </w:t>
      </w:r>
      <w:r w:rsidR="000842EB" w:rsidRPr="00857EE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СТАТИСТИЧКИ</w:t>
      </w:r>
      <w:r w:rsidRPr="00857EE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</w:t>
      </w:r>
      <w:r w:rsidR="000842EB" w:rsidRPr="00857EE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ПОДАЦИ</w:t>
      </w:r>
      <w:r w:rsidRPr="00857EE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МА</w:t>
      </w:r>
      <w:r w:rsidR="000842EB" w:rsidRPr="00857EE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О СВИМ ИНЦИДЕНТИМА У ИКТ СИСТЕМИМА ОД ПОСЕБНОГ ЗНАЧАЈА</w:t>
      </w:r>
    </w:p>
    <w:p w14:paraId="1098185C" w14:textId="77777777" w:rsidR="000842EB" w:rsidRPr="00857EE7" w:rsidRDefault="000842EB" w:rsidP="000842E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857EE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___________________________________________________________________________</w:t>
      </w:r>
    </w:p>
    <w:p w14:paraId="35EB2D1B" w14:textId="18873113" w:rsidR="000842EB" w:rsidRPr="00857EE7" w:rsidRDefault="000842EB" w:rsidP="000842E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857EE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ПОДАЦИ О </w:t>
      </w:r>
      <w:r w:rsidR="006C4E47" w:rsidRPr="00857EE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ОПЕРАТОРУ </w:t>
      </w:r>
      <w:r w:rsidRPr="00857EE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ИКТ СИСТЕМ</w:t>
      </w:r>
      <w:r w:rsidR="006C4E47" w:rsidRPr="00857EE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А</w:t>
      </w:r>
      <w:r w:rsidRPr="00857EE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ОД ПОСЕБНОГ ЗНАЧАЈА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8"/>
        <w:gridCol w:w="5568"/>
      </w:tblGrid>
      <w:tr w:rsidR="000842EB" w:rsidRPr="00857EE7" w14:paraId="360B8A19" w14:textId="77777777" w:rsidTr="000842EB">
        <w:trPr>
          <w:trHeight w:val="569"/>
        </w:trPr>
        <w:tc>
          <w:tcPr>
            <w:tcW w:w="3550" w:type="dxa"/>
            <w:shd w:val="clear" w:color="auto" w:fill="F2F2F2"/>
          </w:tcPr>
          <w:p w14:paraId="1A2E3AAE" w14:textId="143F091D" w:rsidR="000842EB" w:rsidRPr="00857EE7" w:rsidRDefault="000842EB" w:rsidP="00084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Пуно пословно име оператора</w:t>
            </w:r>
            <w:r w:rsidR="006C4E47" w:rsidRPr="00857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846" w:type="dxa"/>
          </w:tcPr>
          <w:p w14:paraId="7A8DDED4" w14:textId="77777777" w:rsidR="000842EB" w:rsidRPr="00857EE7" w:rsidRDefault="000842EB" w:rsidP="00084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2FAA5F02" w14:textId="77777777" w:rsidR="000842EB" w:rsidRPr="00857EE7" w:rsidRDefault="000842EB" w:rsidP="00084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0842EB" w:rsidRPr="00857EE7" w14:paraId="23D49DF9" w14:textId="77777777" w:rsidTr="000842EB">
        <w:trPr>
          <w:trHeight w:val="284"/>
        </w:trPr>
        <w:tc>
          <w:tcPr>
            <w:tcW w:w="3550" w:type="dxa"/>
            <w:shd w:val="clear" w:color="auto" w:fill="F2F2F2"/>
          </w:tcPr>
          <w:p w14:paraId="73BDA7A9" w14:textId="77777777" w:rsidR="000842EB" w:rsidRPr="00857EE7" w:rsidRDefault="000842EB" w:rsidP="00084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Седиште оператора</w:t>
            </w:r>
          </w:p>
        </w:tc>
        <w:tc>
          <w:tcPr>
            <w:tcW w:w="5846" w:type="dxa"/>
          </w:tcPr>
          <w:p w14:paraId="4DD602A4" w14:textId="77777777" w:rsidR="000842EB" w:rsidRPr="00857EE7" w:rsidRDefault="000842EB" w:rsidP="00084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26303E59" w14:textId="77777777" w:rsidR="000842EB" w:rsidRPr="00857EE7" w:rsidRDefault="000842EB" w:rsidP="00084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0842EB" w:rsidRPr="00857EE7" w14:paraId="14D90070" w14:textId="77777777" w:rsidTr="000842EB">
        <w:trPr>
          <w:trHeight w:val="284"/>
        </w:trPr>
        <w:tc>
          <w:tcPr>
            <w:tcW w:w="3550" w:type="dxa"/>
            <w:shd w:val="clear" w:color="auto" w:fill="F2F2F2"/>
          </w:tcPr>
          <w:p w14:paraId="2EBD116E" w14:textId="77777777" w:rsidR="000842EB" w:rsidRPr="00857EE7" w:rsidRDefault="000842EB" w:rsidP="00084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Адреса за контакт</w:t>
            </w:r>
          </w:p>
        </w:tc>
        <w:tc>
          <w:tcPr>
            <w:tcW w:w="5846" w:type="dxa"/>
          </w:tcPr>
          <w:p w14:paraId="265276BD" w14:textId="77777777" w:rsidR="000842EB" w:rsidRPr="00857EE7" w:rsidRDefault="000842EB" w:rsidP="00084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44A1F8F7" w14:textId="77777777" w:rsidR="000842EB" w:rsidRPr="00857EE7" w:rsidRDefault="000842EB" w:rsidP="00084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0842EB" w:rsidRPr="00857EE7" w14:paraId="5C9C8565" w14:textId="77777777" w:rsidTr="000842EB">
        <w:trPr>
          <w:trHeight w:val="284"/>
        </w:trPr>
        <w:tc>
          <w:tcPr>
            <w:tcW w:w="3550" w:type="dxa"/>
            <w:shd w:val="clear" w:color="auto" w:fill="F2F2F2"/>
          </w:tcPr>
          <w:p w14:paraId="63F280F5" w14:textId="77777777" w:rsidR="000842EB" w:rsidRPr="00857EE7" w:rsidRDefault="000842EB" w:rsidP="00084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846" w:type="dxa"/>
          </w:tcPr>
          <w:p w14:paraId="694A20A7" w14:textId="77777777" w:rsidR="000842EB" w:rsidRPr="00857EE7" w:rsidRDefault="000842EB" w:rsidP="00084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5BD384DA" w14:textId="77777777" w:rsidR="000842EB" w:rsidRPr="00857EE7" w:rsidRDefault="000842EB" w:rsidP="00084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0842EB" w:rsidRPr="00857EE7" w14:paraId="74164DAB" w14:textId="77777777" w:rsidTr="000842EB">
        <w:trPr>
          <w:trHeight w:val="284"/>
        </w:trPr>
        <w:tc>
          <w:tcPr>
            <w:tcW w:w="3550" w:type="dxa"/>
            <w:shd w:val="clear" w:color="auto" w:fill="F2F2F2"/>
          </w:tcPr>
          <w:p w14:paraId="7BB66A99" w14:textId="77777777" w:rsidR="000842EB" w:rsidRPr="00857EE7" w:rsidRDefault="000842EB" w:rsidP="00084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Овлашћено лице</w:t>
            </w:r>
          </w:p>
        </w:tc>
        <w:tc>
          <w:tcPr>
            <w:tcW w:w="5846" w:type="dxa"/>
          </w:tcPr>
          <w:p w14:paraId="202479E7" w14:textId="77777777" w:rsidR="000842EB" w:rsidRPr="00857EE7" w:rsidRDefault="000842EB" w:rsidP="00084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32655262" w14:textId="77777777" w:rsidR="000842EB" w:rsidRPr="00857EE7" w:rsidRDefault="000842EB" w:rsidP="00084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0842EB" w:rsidRPr="00857EE7" w14:paraId="10A6876F" w14:textId="77777777" w:rsidTr="000842EB">
        <w:trPr>
          <w:trHeight w:val="284"/>
        </w:trPr>
        <w:tc>
          <w:tcPr>
            <w:tcW w:w="3550" w:type="dxa"/>
            <w:shd w:val="clear" w:color="auto" w:fill="F2F2F2"/>
          </w:tcPr>
          <w:p w14:paraId="16AE91AF" w14:textId="77777777" w:rsidR="000842EB" w:rsidRPr="00857EE7" w:rsidRDefault="000842EB" w:rsidP="00084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Контакт особа</w:t>
            </w:r>
          </w:p>
        </w:tc>
        <w:tc>
          <w:tcPr>
            <w:tcW w:w="5846" w:type="dxa"/>
          </w:tcPr>
          <w:p w14:paraId="4217A417" w14:textId="77777777" w:rsidR="000842EB" w:rsidRPr="00857EE7" w:rsidRDefault="000842EB" w:rsidP="00084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1FFEE511" w14:textId="77777777" w:rsidR="000842EB" w:rsidRPr="00857EE7" w:rsidRDefault="000842EB" w:rsidP="00084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0842EB" w:rsidRPr="00857EE7" w14:paraId="1EE93837" w14:textId="77777777" w:rsidTr="000842EB">
        <w:trPr>
          <w:trHeight w:val="284"/>
        </w:trPr>
        <w:tc>
          <w:tcPr>
            <w:tcW w:w="3550" w:type="dxa"/>
            <w:shd w:val="clear" w:color="auto" w:fill="F2F2F2"/>
          </w:tcPr>
          <w:p w14:paraId="5FA66106" w14:textId="77777777" w:rsidR="000842EB" w:rsidRPr="00857EE7" w:rsidRDefault="000842EB" w:rsidP="00084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Телефон контакт особе</w:t>
            </w:r>
          </w:p>
        </w:tc>
        <w:tc>
          <w:tcPr>
            <w:tcW w:w="5846" w:type="dxa"/>
          </w:tcPr>
          <w:p w14:paraId="0CE509C3" w14:textId="77777777" w:rsidR="000842EB" w:rsidRPr="00857EE7" w:rsidRDefault="000842EB" w:rsidP="00084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49B42481" w14:textId="77777777" w:rsidR="000842EB" w:rsidRPr="00857EE7" w:rsidRDefault="000842EB" w:rsidP="00084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0842EB" w:rsidRPr="00857EE7" w14:paraId="272747DD" w14:textId="77777777" w:rsidTr="000842EB">
        <w:trPr>
          <w:trHeight w:val="300"/>
        </w:trPr>
        <w:tc>
          <w:tcPr>
            <w:tcW w:w="3550" w:type="dxa"/>
            <w:shd w:val="clear" w:color="auto" w:fill="F2F2F2"/>
          </w:tcPr>
          <w:p w14:paraId="741E572A" w14:textId="77777777" w:rsidR="000842EB" w:rsidRPr="00857EE7" w:rsidRDefault="000842EB" w:rsidP="00084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E-mail контакт особе</w:t>
            </w:r>
          </w:p>
        </w:tc>
        <w:tc>
          <w:tcPr>
            <w:tcW w:w="5846" w:type="dxa"/>
          </w:tcPr>
          <w:p w14:paraId="4B02E782" w14:textId="77777777" w:rsidR="000842EB" w:rsidRPr="00857EE7" w:rsidRDefault="000842EB" w:rsidP="00084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49784CCE" w14:textId="77777777" w:rsidR="000842EB" w:rsidRPr="00857EE7" w:rsidRDefault="000842EB" w:rsidP="00084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0842EB" w:rsidRPr="00857EE7" w14:paraId="21322ED8" w14:textId="77777777" w:rsidTr="000842EB">
        <w:trPr>
          <w:trHeight w:val="300"/>
        </w:trPr>
        <w:tc>
          <w:tcPr>
            <w:tcW w:w="3550" w:type="dxa"/>
            <w:shd w:val="clear" w:color="auto" w:fill="F2F2F2"/>
          </w:tcPr>
          <w:p w14:paraId="28FCB8A3" w14:textId="77777777" w:rsidR="000842EB" w:rsidRPr="00857EE7" w:rsidRDefault="000842EB" w:rsidP="00084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Интернет страница</w:t>
            </w:r>
          </w:p>
        </w:tc>
        <w:tc>
          <w:tcPr>
            <w:tcW w:w="5846" w:type="dxa"/>
          </w:tcPr>
          <w:p w14:paraId="02440668" w14:textId="77777777" w:rsidR="000842EB" w:rsidRPr="00857EE7" w:rsidRDefault="000842EB" w:rsidP="00084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06B6784F" w14:textId="77777777" w:rsidR="000842EB" w:rsidRPr="00857EE7" w:rsidRDefault="000842EB" w:rsidP="00084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0842EB" w:rsidRPr="00857EE7" w14:paraId="0C33EF43" w14:textId="77777777" w:rsidTr="000842EB">
        <w:trPr>
          <w:trHeight w:val="300"/>
        </w:trPr>
        <w:tc>
          <w:tcPr>
            <w:tcW w:w="3550" w:type="dxa"/>
            <w:shd w:val="clear" w:color="auto" w:fill="F2F2F2"/>
          </w:tcPr>
          <w:p w14:paraId="1D3BCB29" w14:textId="77777777" w:rsidR="000842EB" w:rsidRPr="00857EE7" w:rsidRDefault="000842EB" w:rsidP="00084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Укупан број IP уређаја*</w:t>
            </w:r>
          </w:p>
          <w:p w14:paraId="19ED9F0E" w14:textId="77777777" w:rsidR="000842EB" w:rsidRPr="00857EE7" w:rsidRDefault="000842EB" w:rsidP="00084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846" w:type="dxa"/>
          </w:tcPr>
          <w:p w14:paraId="4BFB8BED" w14:textId="77777777" w:rsidR="000842EB" w:rsidRPr="00857EE7" w:rsidRDefault="000842EB" w:rsidP="00084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3F6E8534" w14:textId="664FF677" w:rsidR="000842EB" w:rsidRPr="00857EE7" w:rsidRDefault="000842EB" w:rsidP="000842EB">
      <w:pPr>
        <w:spacing w:after="200" w:line="276" w:lineRule="auto"/>
        <w:rPr>
          <w:rFonts w:ascii="Times New Roman" w:eastAsia="Calibri" w:hAnsi="Times New Roman" w:cs="Times New Roman"/>
          <w:lang w:val="sr-Cyrl-RS"/>
        </w:rPr>
      </w:pPr>
      <w:r w:rsidRPr="00857EE7">
        <w:rPr>
          <w:rFonts w:ascii="Calibri" w:eastAsia="Calibri" w:hAnsi="Calibri" w:cs="Times New Roman"/>
          <w:lang w:val="sr-Cyrl-RS"/>
        </w:rPr>
        <w:t>*</w:t>
      </w:r>
      <w:r w:rsidRPr="00857EE7">
        <w:rPr>
          <w:rFonts w:ascii="Times New Roman" w:eastAsia="Calibri" w:hAnsi="Times New Roman" w:cs="Times New Roman"/>
          <w:lang w:val="sr-Cyrl-RS"/>
        </w:rPr>
        <w:t>у</w:t>
      </w:r>
      <w:r w:rsidR="0059054B" w:rsidRPr="00857EE7">
        <w:rPr>
          <w:rFonts w:ascii="Times New Roman" w:eastAsia="Calibri" w:hAnsi="Times New Roman" w:cs="Times New Roman"/>
          <w:lang w:val="sr-Cyrl-RS"/>
        </w:rPr>
        <w:t>писати укупан број</w:t>
      </w:r>
      <w:r w:rsidRPr="00857EE7">
        <w:rPr>
          <w:rFonts w:ascii="Times New Roman" w:eastAsia="Calibri" w:hAnsi="Times New Roman" w:cs="Times New Roman"/>
          <w:lang w:val="sr-Cyrl-RS"/>
        </w:rPr>
        <w:t xml:space="preserve"> св</w:t>
      </w:r>
      <w:r w:rsidR="0059054B" w:rsidRPr="00857EE7">
        <w:rPr>
          <w:rFonts w:ascii="Times New Roman" w:eastAsia="Calibri" w:hAnsi="Times New Roman" w:cs="Times New Roman"/>
          <w:lang w:val="sr-Cyrl-RS"/>
        </w:rPr>
        <w:t>их</w:t>
      </w:r>
      <w:r w:rsidRPr="00857EE7">
        <w:rPr>
          <w:rFonts w:ascii="Times New Roman" w:eastAsia="Calibri" w:hAnsi="Times New Roman" w:cs="Times New Roman"/>
          <w:lang w:val="sr-Cyrl-RS"/>
        </w:rPr>
        <w:t xml:space="preserve"> уређај</w:t>
      </w:r>
      <w:r w:rsidR="0059054B" w:rsidRPr="00857EE7">
        <w:rPr>
          <w:rFonts w:ascii="Times New Roman" w:eastAsia="Calibri" w:hAnsi="Times New Roman" w:cs="Times New Roman"/>
          <w:lang w:val="sr-Cyrl-RS"/>
        </w:rPr>
        <w:t>а</w:t>
      </w:r>
      <w:r w:rsidRPr="00857EE7">
        <w:rPr>
          <w:rFonts w:ascii="Times New Roman" w:eastAsia="Calibri" w:hAnsi="Times New Roman" w:cs="Times New Roman"/>
          <w:lang w:val="sr-Cyrl-RS"/>
        </w:rPr>
        <w:t xml:space="preserve"> који користе IP протокол за комуникацију</w:t>
      </w:r>
    </w:p>
    <w:p w14:paraId="0DF8E7A6" w14:textId="77777777" w:rsidR="00AF3D12" w:rsidRPr="00857EE7" w:rsidRDefault="00AF3D12" w:rsidP="000842EB">
      <w:pPr>
        <w:spacing w:after="200" w:line="276" w:lineRule="auto"/>
        <w:rPr>
          <w:rFonts w:ascii="Calibri" w:eastAsia="Calibri" w:hAnsi="Calibri" w:cs="Times New Roman"/>
          <w:lang w:val="sr-Cyrl-RS"/>
        </w:rPr>
      </w:pPr>
    </w:p>
    <w:p w14:paraId="20DB70EC" w14:textId="77777777" w:rsidR="000842EB" w:rsidRPr="00857EE7" w:rsidRDefault="000842EB" w:rsidP="000842EB">
      <w:pPr>
        <w:spacing w:after="200" w:line="276" w:lineRule="auto"/>
        <w:rPr>
          <w:rFonts w:ascii="Calibri" w:eastAsia="Calibri" w:hAnsi="Calibri" w:cs="Times New Roman"/>
          <w:lang w:val="sr-Cyrl-RS"/>
        </w:rPr>
      </w:pPr>
      <w:r w:rsidRPr="00857EE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ЛИСТА ИНЦИДЕНАТА ПРЕМА ВРСТАМА</w:t>
      </w:r>
    </w:p>
    <w:tbl>
      <w:tblPr>
        <w:tblStyle w:val="TableGrid"/>
        <w:tblW w:w="9205" w:type="dxa"/>
        <w:jc w:val="center"/>
        <w:tblLook w:val="04A0" w:firstRow="1" w:lastRow="0" w:firstColumn="1" w:lastColumn="0" w:noHBand="0" w:noVBand="1"/>
      </w:tblPr>
      <w:tblGrid>
        <w:gridCol w:w="2231"/>
        <w:gridCol w:w="3488"/>
        <w:gridCol w:w="3486"/>
      </w:tblGrid>
      <w:tr w:rsidR="000842EB" w:rsidRPr="00857EE7" w14:paraId="764DA4C9" w14:textId="77777777" w:rsidTr="000842EB">
        <w:trPr>
          <w:trHeight w:val="16"/>
          <w:tblHeader/>
          <w:jc w:val="center"/>
        </w:trPr>
        <w:tc>
          <w:tcPr>
            <w:tcW w:w="2231" w:type="dxa"/>
            <w:shd w:val="clear" w:color="auto" w:fill="D9D9D9"/>
            <w:vAlign w:val="center"/>
          </w:tcPr>
          <w:p w14:paraId="1D87C841" w14:textId="77777777" w:rsidR="000842EB" w:rsidRPr="00857EE7" w:rsidRDefault="000842EB" w:rsidP="000842EB">
            <w:pPr>
              <w:tabs>
                <w:tab w:val="left" w:pos="0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Група инцидената</w:t>
            </w:r>
          </w:p>
        </w:tc>
        <w:tc>
          <w:tcPr>
            <w:tcW w:w="3488" w:type="dxa"/>
            <w:shd w:val="clear" w:color="auto" w:fill="D9D9D9"/>
          </w:tcPr>
          <w:p w14:paraId="7D1A3A21" w14:textId="77777777" w:rsidR="000842EB" w:rsidRPr="00857EE7" w:rsidRDefault="000842EB" w:rsidP="000842EB">
            <w:pPr>
              <w:tabs>
                <w:tab w:val="left" w:pos="120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Врста инцидента</w:t>
            </w:r>
          </w:p>
        </w:tc>
        <w:tc>
          <w:tcPr>
            <w:tcW w:w="3486" w:type="dxa"/>
            <w:shd w:val="clear" w:color="auto" w:fill="D9D9D9"/>
          </w:tcPr>
          <w:p w14:paraId="7234FFFE" w14:textId="77777777" w:rsidR="000842EB" w:rsidRPr="00857EE7" w:rsidRDefault="000842EB" w:rsidP="000842EB">
            <w:pPr>
              <w:tabs>
                <w:tab w:val="left" w:pos="120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Број инцидената</w:t>
            </w:r>
          </w:p>
        </w:tc>
      </w:tr>
      <w:tr w:rsidR="000842EB" w:rsidRPr="00857EE7" w14:paraId="05AC629B" w14:textId="77777777" w:rsidTr="000842EB">
        <w:trPr>
          <w:trHeight w:val="16"/>
          <w:jc w:val="center"/>
        </w:trPr>
        <w:tc>
          <w:tcPr>
            <w:tcW w:w="2231" w:type="dxa"/>
            <w:vMerge w:val="restart"/>
            <w:shd w:val="clear" w:color="auto" w:fill="F2F2F2"/>
            <w:vAlign w:val="center"/>
          </w:tcPr>
          <w:p w14:paraId="1BB7BA6B" w14:textId="77777777" w:rsidR="000842EB" w:rsidRPr="00857EE7" w:rsidRDefault="000842EB" w:rsidP="000842E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Инсталирање злонамерног софтвера у оквиру ИКТ система</w:t>
            </w:r>
          </w:p>
        </w:tc>
        <w:tc>
          <w:tcPr>
            <w:tcW w:w="3488" w:type="dxa"/>
            <w:shd w:val="clear" w:color="auto" w:fill="auto"/>
          </w:tcPr>
          <w:p w14:paraId="72775709" w14:textId="7777777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Малвер</w:t>
            </w:r>
          </w:p>
          <w:p w14:paraId="6752EF00" w14:textId="6E4132EB" w:rsidR="000842EB" w:rsidRPr="00857EE7" w:rsidRDefault="000842EB" w:rsidP="000842EB">
            <w:pPr>
              <w:tabs>
                <w:tab w:val="left" w:pos="120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(енгл. </w:t>
            </w:r>
            <w:r w:rsidRPr="00857E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malware</w:t>
            </w: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486" w:type="dxa"/>
          </w:tcPr>
          <w:p w14:paraId="73A7C137" w14:textId="7777777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42EB" w:rsidRPr="00857EE7" w14:paraId="16E69302" w14:textId="77777777" w:rsidTr="000842EB">
        <w:trPr>
          <w:trHeight w:val="16"/>
          <w:jc w:val="center"/>
        </w:trPr>
        <w:tc>
          <w:tcPr>
            <w:tcW w:w="2231" w:type="dxa"/>
            <w:vMerge/>
            <w:shd w:val="clear" w:color="auto" w:fill="F2F2F2"/>
            <w:vAlign w:val="center"/>
          </w:tcPr>
          <w:p w14:paraId="414F7F18" w14:textId="77777777" w:rsidR="000842EB" w:rsidRPr="00857EE7" w:rsidRDefault="000842EB" w:rsidP="000842E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488" w:type="dxa"/>
          </w:tcPr>
          <w:p w14:paraId="21CB8AB2" w14:textId="77777777" w:rsidR="000842EB" w:rsidRPr="00857EE7" w:rsidRDefault="000842EB" w:rsidP="000842EB">
            <w:pPr>
              <w:tabs>
                <w:tab w:val="left" w:pos="1206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Вирус</w:t>
            </w:r>
          </w:p>
        </w:tc>
        <w:tc>
          <w:tcPr>
            <w:tcW w:w="3486" w:type="dxa"/>
          </w:tcPr>
          <w:p w14:paraId="18949360" w14:textId="77777777" w:rsidR="000842EB" w:rsidRPr="00857EE7" w:rsidRDefault="000842EB" w:rsidP="000842EB">
            <w:pPr>
              <w:tabs>
                <w:tab w:val="left" w:pos="1206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42EB" w:rsidRPr="00857EE7" w14:paraId="1D69A14A" w14:textId="77777777" w:rsidTr="000842EB">
        <w:trPr>
          <w:trHeight w:val="15"/>
          <w:jc w:val="center"/>
        </w:trPr>
        <w:tc>
          <w:tcPr>
            <w:tcW w:w="2231" w:type="dxa"/>
            <w:vMerge/>
            <w:shd w:val="clear" w:color="auto" w:fill="F2F2F2"/>
          </w:tcPr>
          <w:p w14:paraId="26A271FE" w14:textId="77777777" w:rsidR="000842EB" w:rsidRPr="00857EE7" w:rsidRDefault="000842EB" w:rsidP="000842E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488" w:type="dxa"/>
          </w:tcPr>
          <w:p w14:paraId="40FBF4F1" w14:textId="7777777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Црв</w:t>
            </w:r>
          </w:p>
          <w:p w14:paraId="1CF088F6" w14:textId="241EFF42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(енгл. </w:t>
            </w:r>
            <w:r w:rsidRPr="00857E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worm</w:t>
            </w: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486" w:type="dxa"/>
          </w:tcPr>
          <w:p w14:paraId="52C2FCD0" w14:textId="7777777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42EB" w:rsidRPr="00857EE7" w14:paraId="7CD7076A" w14:textId="77777777" w:rsidTr="000842EB">
        <w:trPr>
          <w:trHeight w:val="15"/>
          <w:jc w:val="center"/>
        </w:trPr>
        <w:tc>
          <w:tcPr>
            <w:tcW w:w="2231" w:type="dxa"/>
            <w:vMerge/>
            <w:shd w:val="clear" w:color="auto" w:fill="F2F2F2"/>
          </w:tcPr>
          <w:p w14:paraId="785D52AB" w14:textId="77777777" w:rsidR="000842EB" w:rsidRPr="00857EE7" w:rsidRDefault="000842EB" w:rsidP="000842E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488" w:type="dxa"/>
          </w:tcPr>
          <w:p w14:paraId="2F397291" w14:textId="7777777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Рансомвер</w:t>
            </w:r>
          </w:p>
          <w:p w14:paraId="49ECF5AC" w14:textId="4FDFBD13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(енгл. </w:t>
            </w:r>
            <w:r w:rsidRPr="00857E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ransomware</w:t>
            </w: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486" w:type="dxa"/>
          </w:tcPr>
          <w:p w14:paraId="2299AEE3" w14:textId="7777777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42EB" w:rsidRPr="00857EE7" w14:paraId="7E5364B0" w14:textId="77777777" w:rsidTr="000842EB">
        <w:trPr>
          <w:trHeight w:val="15"/>
          <w:jc w:val="center"/>
        </w:trPr>
        <w:tc>
          <w:tcPr>
            <w:tcW w:w="2231" w:type="dxa"/>
            <w:vMerge/>
            <w:shd w:val="clear" w:color="auto" w:fill="F2F2F2"/>
          </w:tcPr>
          <w:p w14:paraId="60445C40" w14:textId="77777777" w:rsidR="000842EB" w:rsidRPr="00857EE7" w:rsidRDefault="000842EB" w:rsidP="000842E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488" w:type="dxa"/>
          </w:tcPr>
          <w:p w14:paraId="3993EF13" w14:textId="77777777" w:rsidR="000842EB" w:rsidRPr="00857EE7" w:rsidRDefault="000842EB" w:rsidP="000842EB">
            <w:pPr>
              <w:tabs>
                <w:tab w:val="left" w:pos="1206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Тројанац</w:t>
            </w:r>
          </w:p>
        </w:tc>
        <w:tc>
          <w:tcPr>
            <w:tcW w:w="3486" w:type="dxa"/>
          </w:tcPr>
          <w:p w14:paraId="7B476DFC" w14:textId="77777777" w:rsidR="000842EB" w:rsidRPr="00857EE7" w:rsidRDefault="000842EB" w:rsidP="000842EB">
            <w:pPr>
              <w:tabs>
                <w:tab w:val="left" w:pos="1206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42EB" w:rsidRPr="00857EE7" w14:paraId="576AAE68" w14:textId="77777777" w:rsidTr="000842EB">
        <w:trPr>
          <w:trHeight w:val="15"/>
          <w:jc w:val="center"/>
        </w:trPr>
        <w:tc>
          <w:tcPr>
            <w:tcW w:w="2231" w:type="dxa"/>
            <w:vMerge/>
            <w:shd w:val="clear" w:color="auto" w:fill="F2F2F2"/>
          </w:tcPr>
          <w:p w14:paraId="604AB5C9" w14:textId="77777777" w:rsidR="000842EB" w:rsidRPr="00857EE7" w:rsidRDefault="000842EB" w:rsidP="000842E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488" w:type="dxa"/>
          </w:tcPr>
          <w:p w14:paraId="2D2CD7FB" w14:textId="7777777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Шпијунски софтвер</w:t>
            </w:r>
          </w:p>
          <w:p w14:paraId="2C668A9B" w14:textId="2D5AAFBD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(енгл. </w:t>
            </w:r>
            <w:r w:rsidRPr="00857E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spyware</w:t>
            </w: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486" w:type="dxa"/>
          </w:tcPr>
          <w:p w14:paraId="74E02EA7" w14:textId="7777777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42EB" w:rsidRPr="00857EE7" w14:paraId="249BD140" w14:textId="77777777" w:rsidTr="00AF3D12">
        <w:trPr>
          <w:trHeight w:val="572"/>
          <w:jc w:val="center"/>
        </w:trPr>
        <w:tc>
          <w:tcPr>
            <w:tcW w:w="2231" w:type="dxa"/>
            <w:vMerge/>
            <w:shd w:val="clear" w:color="auto" w:fill="F2F2F2"/>
          </w:tcPr>
          <w:p w14:paraId="32B1C1CB" w14:textId="77777777" w:rsidR="000842EB" w:rsidRPr="00857EE7" w:rsidRDefault="000842EB" w:rsidP="000842E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488" w:type="dxa"/>
          </w:tcPr>
          <w:p w14:paraId="686465CE" w14:textId="7777777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Руткит</w:t>
            </w:r>
          </w:p>
          <w:p w14:paraId="6EA2809A" w14:textId="346295ED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(енгл. </w:t>
            </w:r>
            <w:r w:rsidRPr="00857E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rootkit</w:t>
            </w: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486" w:type="dxa"/>
          </w:tcPr>
          <w:p w14:paraId="6B2C7BF2" w14:textId="7777777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42EB" w:rsidRPr="00857EE7" w14:paraId="5486E9AE" w14:textId="77777777" w:rsidTr="000842EB">
        <w:trPr>
          <w:trHeight w:val="14"/>
          <w:jc w:val="center"/>
        </w:trPr>
        <w:tc>
          <w:tcPr>
            <w:tcW w:w="2231" w:type="dxa"/>
            <w:vMerge w:val="restart"/>
            <w:shd w:val="clear" w:color="auto" w:fill="F2F2F2"/>
            <w:vAlign w:val="center"/>
          </w:tcPr>
          <w:p w14:paraId="08B7521B" w14:textId="77777777" w:rsidR="000842EB" w:rsidRPr="00857EE7" w:rsidRDefault="000842EB" w:rsidP="000842E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>Неовлашћено прикупљање података</w:t>
            </w:r>
          </w:p>
        </w:tc>
        <w:tc>
          <w:tcPr>
            <w:tcW w:w="3488" w:type="dxa"/>
          </w:tcPr>
          <w:p w14:paraId="7BD57EB7" w14:textId="77777777" w:rsidR="000842EB" w:rsidRPr="00857EE7" w:rsidRDefault="000842EB" w:rsidP="000842EB">
            <w:pPr>
              <w:tabs>
                <w:tab w:val="left" w:pos="1206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Скенирање портова</w:t>
            </w:r>
          </w:p>
        </w:tc>
        <w:tc>
          <w:tcPr>
            <w:tcW w:w="3486" w:type="dxa"/>
          </w:tcPr>
          <w:p w14:paraId="486B396D" w14:textId="77777777" w:rsidR="000842EB" w:rsidRPr="00857EE7" w:rsidRDefault="000842EB" w:rsidP="000842EB">
            <w:pPr>
              <w:tabs>
                <w:tab w:val="left" w:pos="1206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42EB" w:rsidRPr="00857EE7" w14:paraId="2E15FC25" w14:textId="77777777" w:rsidTr="000842EB">
        <w:trPr>
          <w:trHeight w:val="14"/>
          <w:jc w:val="center"/>
        </w:trPr>
        <w:tc>
          <w:tcPr>
            <w:tcW w:w="2231" w:type="dxa"/>
            <w:vMerge/>
            <w:shd w:val="clear" w:color="auto" w:fill="F2F2F2"/>
          </w:tcPr>
          <w:p w14:paraId="56BFA54E" w14:textId="77777777" w:rsidR="000842EB" w:rsidRPr="00857EE7" w:rsidRDefault="000842EB" w:rsidP="000842E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488" w:type="dxa"/>
          </w:tcPr>
          <w:p w14:paraId="11358D29" w14:textId="7777777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Пресретање података између рачунара и сервера</w:t>
            </w:r>
          </w:p>
          <w:p w14:paraId="4E751FFB" w14:textId="3B778BB3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(енгл. </w:t>
            </w:r>
            <w:r w:rsidRPr="00857E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sniffing</w:t>
            </w: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486" w:type="dxa"/>
          </w:tcPr>
          <w:p w14:paraId="7E58C1F6" w14:textId="7777777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42EB" w:rsidRPr="00857EE7" w14:paraId="7D57A333" w14:textId="77777777" w:rsidTr="000842EB">
        <w:trPr>
          <w:trHeight w:val="14"/>
          <w:jc w:val="center"/>
        </w:trPr>
        <w:tc>
          <w:tcPr>
            <w:tcW w:w="2231" w:type="dxa"/>
            <w:vMerge/>
            <w:shd w:val="clear" w:color="auto" w:fill="F2F2F2"/>
          </w:tcPr>
          <w:p w14:paraId="1C76E1FF" w14:textId="77777777" w:rsidR="000842EB" w:rsidRPr="00857EE7" w:rsidRDefault="000842EB" w:rsidP="000842E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488" w:type="dxa"/>
          </w:tcPr>
          <w:p w14:paraId="17C8C337" w14:textId="7777777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Социјални инжењеринг</w:t>
            </w:r>
          </w:p>
          <w:p w14:paraId="0BF5C4B7" w14:textId="7777777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(лажно представљање и други облици)</w:t>
            </w:r>
          </w:p>
        </w:tc>
        <w:tc>
          <w:tcPr>
            <w:tcW w:w="3486" w:type="dxa"/>
          </w:tcPr>
          <w:p w14:paraId="6E8848A4" w14:textId="7777777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42EB" w:rsidRPr="00857EE7" w14:paraId="06531B6D" w14:textId="77777777" w:rsidTr="000842EB">
        <w:trPr>
          <w:trHeight w:val="14"/>
          <w:jc w:val="center"/>
        </w:trPr>
        <w:tc>
          <w:tcPr>
            <w:tcW w:w="2231" w:type="dxa"/>
            <w:vMerge/>
            <w:shd w:val="clear" w:color="auto" w:fill="F2F2F2"/>
          </w:tcPr>
          <w:p w14:paraId="261CE3D3" w14:textId="77777777" w:rsidR="000842EB" w:rsidRPr="00857EE7" w:rsidRDefault="000842EB" w:rsidP="000842E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488" w:type="dxa"/>
          </w:tcPr>
          <w:p w14:paraId="3D5CD8B7" w14:textId="7777777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Повреда података </w:t>
            </w:r>
          </w:p>
          <w:p w14:paraId="2DF2ADC3" w14:textId="03475913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(енгл. </w:t>
            </w:r>
            <w:r w:rsidRPr="00857E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data breaches</w:t>
            </w: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486" w:type="dxa"/>
          </w:tcPr>
          <w:p w14:paraId="5200DE0B" w14:textId="7777777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42EB" w:rsidRPr="00857EE7" w14:paraId="060CD021" w14:textId="77777777" w:rsidTr="000842EB">
        <w:trPr>
          <w:trHeight w:val="14"/>
          <w:jc w:val="center"/>
        </w:trPr>
        <w:tc>
          <w:tcPr>
            <w:tcW w:w="2231" w:type="dxa"/>
            <w:vMerge w:val="restart"/>
            <w:shd w:val="clear" w:color="auto" w:fill="F2F2F2"/>
          </w:tcPr>
          <w:p w14:paraId="3D4FC664" w14:textId="77777777" w:rsidR="000842EB" w:rsidRPr="00857EE7" w:rsidRDefault="000842EB" w:rsidP="000842E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Превара</w:t>
            </w:r>
          </w:p>
        </w:tc>
        <w:tc>
          <w:tcPr>
            <w:tcW w:w="3488" w:type="dxa"/>
          </w:tcPr>
          <w:p w14:paraId="387AC119" w14:textId="7777777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Фишинг</w:t>
            </w:r>
          </w:p>
          <w:p w14:paraId="584E9C98" w14:textId="65DE50ED" w:rsidR="000842EB" w:rsidRPr="00857EE7" w:rsidDel="005F1A5C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(енгл. </w:t>
            </w:r>
            <w:r w:rsidRPr="00857E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phishing</w:t>
            </w: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486" w:type="dxa"/>
          </w:tcPr>
          <w:p w14:paraId="5ADA5C1E" w14:textId="7777777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42EB" w:rsidRPr="00857EE7" w14:paraId="09D69DC3" w14:textId="77777777" w:rsidTr="000842EB">
        <w:trPr>
          <w:trHeight w:val="14"/>
          <w:jc w:val="center"/>
        </w:trPr>
        <w:tc>
          <w:tcPr>
            <w:tcW w:w="2231" w:type="dxa"/>
            <w:vMerge/>
            <w:shd w:val="clear" w:color="auto" w:fill="F2F2F2"/>
          </w:tcPr>
          <w:p w14:paraId="349944AD" w14:textId="77777777" w:rsidR="000842EB" w:rsidRPr="00857EE7" w:rsidRDefault="000842EB" w:rsidP="000842E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488" w:type="dxa"/>
          </w:tcPr>
          <w:p w14:paraId="76EC6DA5" w14:textId="7777777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Неовлашћено коришћење ресурса</w:t>
            </w:r>
          </w:p>
          <w:p w14:paraId="67375A1C" w14:textId="5EE8C03F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(енгл. </w:t>
            </w:r>
            <w:r w:rsidRPr="00857E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cryptojacking</w:t>
            </w:r>
            <w:r w:rsidR="004775D4"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и други облици</w:t>
            </w:r>
          </w:p>
        </w:tc>
        <w:tc>
          <w:tcPr>
            <w:tcW w:w="3486" w:type="dxa"/>
          </w:tcPr>
          <w:p w14:paraId="5188D816" w14:textId="7777777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42EB" w:rsidRPr="00857EE7" w14:paraId="188B054D" w14:textId="77777777" w:rsidTr="000842EB">
        <w:trPr>
          <w:trHeight w:val="21"/>
          <w:jc w:val="center"/>
        </w:trPr>
        <w:tc>
          <w:tcPr>
            <w:tcW w:w="2231" w:type="dxa"/>
            <w:vMerge w:val="restart"/>
            <w:shd w:val="clear" w:color="auto" w:fill="F2F2F2"/>
            <w:vAlign w:val="center"/>
          </w:tcPr>
          <w:p w14:paraId="096EE62F" w14:textId="77777777" w:rsidR="000842EB" w:rsidRPr="00857EE7" w:rsidRDefault="000842EB" w:rsidP="000842E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Покушаји упада у ИКТ систем</w:t>
            </w:r>
          </w:p>
        </w:tc>
        <w:tc>
          <w:tcPr>
            <w:tcW w:w="3488" w:type="dxa"/>
          </w:tcPr>
          <w:p w14:paraId="7E815038" w14:textId="77777777" w:rsidR="000842EB" w:rsidRPr="00857EE7" w:rsidRDefault="000842EB" w:rsidP="000842EB">
            <w:pPr>
              <w:tabs>
                <w:tab w:val="left" w:pos="1206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Покушај искоришћавања рањивости система</w:t>
            </w:r>
          </w:p>
        </w:tc>
        <w:tc>
          <w:tcPr>
            <w:tcW w:w="3486" w:type="dxa"/>
          </w:tcPr>
          <w:p w14:paraId="41EF688F" w14:textId="77777777" w:rsidR="000842EB" w:rsidRPr="00857EE7" w:rsidRDefault="000842EB" w:rsidP="000842EB">
            <w:pPr>
              <w:tabs>
                <w:tab w:val="left" w:pos="1206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42EB" w:rsidRPr="00857EE7" w14:paraId="2311541D" w14:textId="77777777" w:rsidTr="000842EB">
        <w:trPr>
          <w:trHeight w:val="21"/>
          <w:jc w:val="center"/>
        </w:trPr>
        <w:tc>
          <w:tcPr>
            <w:tcW w:w="2231" w:type="dxa"/>
            <w:vMerge/>
            <w:shd w:val="clear" w:color="auto" w:fill="F2F2F2"/>
            <w:vAlign w:val="center"/>
          </w:tcPr>
          <w:p w14:paraId="28571C29" w14:textId="77777777" w:rsidR="000842EB" w:rsidRPr="00857EE7" w:rsidRDefault="000842EB" w:rsidP="000842E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488" w:type="dxa"/>
          </w:tcPr>
          <w:p w14:paraId="30E02BC9" w14:textId="7777777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Покушај откривања </w:t>
            </w:r>
            <w:r w:rsidR="00147261"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налога</w:t>
            </w:r>
          </w:p>
          <w:p w14:paraId="22FC7E29" w14:textId="5F5FA95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(енгл. </w:t>
            </w:r>
            <w:r w:rsidRPr="00857E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brute force attack</w:t>
            </w: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486" w:type="dxa"/>
          </w:tcPr>
          <w:p w14:paraId="4B80B0F4" w14:textId="7777777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42EB" w:rsidRPr="00857EE7" w14:paraId="4387B5B3" w14:textId="77777777" w:rsidTr="000842EB">
        <w:trPr>
          <w:trHeight w:val="38"/>
          <w:jc w:val="center"/>
        </w:trPr>
        <w:tc>
          <w:tcPr>
            <w:tcW w:w="2231" w:type="dxa"/>
            <w:vMerge w:val="restart"/>
            <w:shd w:val="clear" w:color="auto" w:fill="F2F2F2"/>
            <w:vAlign w:val="center"/>
          </w:tcPr>
          <w:p w14:paraId="6AD49D59" w14:textId="77777777" w:rsidR="000842EB" w:rsidRPr="00857EE7" w:rsidRDefault="000842EB" w:rsidP="000842E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Упад у ИКТ систем</w:t>
            </w:r>
          </w:p>
        </w:tc>
        <w:tc>
          <w:tcPr>
            <w:tcW w:w="3488" w:type="dxa"/>
          </w:tcPr>
          <w:p w14:paraId="79A53DBD" w14:textId="7777777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Откривање или неовлашћено коришћење привилегованих </w:t>
            </w:r>
            <w:r w:rsidR="00147261"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налога</w:t>
            </w:r>
          </w:p>
          <w:p w14:paraId="533E76C4" w14:textId="652642ED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(енгл. </w:t>
            </w:r>
            <w:r w:rsidRPr="00857E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privileged account compromise</w:t>
            </w: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486" w:type="dxa"/>
          </w:tcPr>
          <w:p w14:paraId="1E5F27D4" w14:textId="7777777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42EB" w:rsidRPr="00857EE7" w14:paraId="54B45AEB" w14:textId="77777777" w:rsidTr="000842EB">
        <w:trPr>
          <w:trHeight w:val="37"/>
          <w:jc w:val="center"/>
        </w:trPr>
        <w:tc>
          <w:tcPr>
            <w:tcW w:w="2231" w:type="dxa"/>
            <w:vMerge/>
            <w:shd w:val="clear" w:color="auto" w:fill="F2F2F2"/>
            <w:vAlign w:val="center"/>
          </w:tcPr>
          <w:p w14:paraId="48526B05" w14:textId="77777777" w:rsidR="000842EB" w:rsidRPr="00857EE7" w:rsidRDefault="000842EB" w:rsidP="000842E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488" w:type="dxa"/>
          </w:tcPr>
          <w:p w14:paraId="1CE0743D" w14:textId="07E27A1C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Откривање или неовлашћено коришћење непривилегованих </w:t>
            </w:r>
            <w:r w:rsidR="00901A41"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налога</w:t>
            </w:r>
          </w:p>
          <w:p w14:paraId="69D7FE55" w14:textId="5AF46674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(енгл. </w:t>
            </w:r>
            <w:r w:rsidRPr="00857E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unprivileged account compromise</w:t>
            </w: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486" w:type="dxa"/>
          </w:tcPr>
          <w:p w14:paraId="1E44E93C" w14:textId="7777777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42EB" w:rsidRPr="00857EE7" w14:paraId="6CF910DF" w14:textId="77777777" w:rsidTr="000842EB">
        <w:trPr>
          <w:trHeight w:val="37"/>
          <w:jc w:val="center"/>
        </w:trPr>
        <w:tc>
          <w:tcPr>
            <w:tcW w:w="2231" w:type="dxa"/>
            <w:vMerge/>
            <w:shd w:val="clear" w:color="auto" w:fill="F2F2F2"/>
            <w:vAlign w:val="center"/>
          </w:tcPr>
          <w:p w14:paraId="2610C516" w14:textId="77777777" w:rsidR="000842EB" w:rsidRPr="00857EE7" w:rsidRDefault="000842EB" w:rsidP="000842E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488" w:type="dxa"/>
          </w:tcPr>
          <w:p w14:paraId="6C659D0E" w14:textId="77777777" w:rsidR="000842EB" w:rsidRPr="00857EE7" w:rsidRDefault="000842EB" w:rsidP="000842EB">
            <w:pPr>
              <w:tabs>
                <w:tab w:val="left" w:pos="1206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Неовлашћени приступ апликацији</w:t>
            </w:r>
          </w:p>
        </w:tc>
        <w:tc>
          <w:tcPr>
            <w:tcW w:w="3486" w:type="dxa"/>
          </w:tcPr>
          <w:p w14:paraId="1147078B" w14:textId="77777777" w:rsidR="000842EB" w:rsidRPr="00857EE7" w:rsidRDefault="000842EB" w:rsidP="000842EB">
            <w:pPr>
              <w:tabs>
                <w:tab w:val="left" w:pos="1206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42EB" w:rsidRPr="00857EE7" w14:paraId="6388B08C" w14:textId="77777777" w:rsidTr="000842EB">
        <w:trPr>
          <w:trHeight w:val="37"/>
          <w:jc w:val="center"/>
        </w:trPr>
        <w:tc>
          <w:tcPr>
            <w:tcW w:w="2231" w:type="dxa"/>
            <w:vMerge/>
            <w:shd w:val="clear" w:color="auto" w:fill="F2F2F2"/>
            <w:vAlign w:val="center"/>
          </w:tcPr>
          <w:p w14:paraId="2A092FC0" w14:textId="77777777" w:rsidR="000842EB" w:rsidRPr="00857EE7" w:rsidRDefault="000842EB" w:rsidP="000842E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488" w:type="dxa"/>
          </w:tcPr>
          <w:p w14:paraId="3D79B297" w14:textId="77777777" w:rsidR="000842EB" w:rsidRPr="00857EE7" w:rsidRDefault="000842EB" w:rsidP="000842EB">
            <w:pPr>
              <w:tabs>
                <w:tab w:val="left" w:pos="1206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Мрежа ботова</w:t>
            </w:r>
          </w:p>
          <w:p w14:paraId="00C51C88" w14:textId="65FF49E5" w:rsidR="000842EB" w:rsidRPr="00857EE7" w:rsidRDefault="000842EB" w:rsidP="000842EB">
            <w:pPr>
              <w:tabs>
                <w:tab w:val="left" w:pos="1206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(енгл. </w:t>
            </w:r>
            <w:r w:rsidRPr="00857E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botnet</w:t>
            </w: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486" w:type="dxa"/>
          </w:tcPr>
          <w:p w14:paraId="24E4406F" w14:textId="77777777" w:rsidR="000842EB" w:rsidRPr="00857EE7" w:rsidRDefault="000842EB" w:rsidP="000842EB">
            <w:pPr>
              <w:tabs>
                <w:tab w:val="left" w:pos="1206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42EB" w:rsidRPr="00857EE7" w14:paraId="60D9C8A1" w14:textId="77777777" w:rsidTr="000842EB">
        <w:trPr>
          <w:trHeight w:val="10"/>
          <w:jc w:val="center"/>
        </w:trPr>
        <w:tc>
          <w:tcPr>
            <w:tcW w:w="2231" w:type="dxa"/>
            <w:vMerge w:val="restart"/>
            <w:shd w:val="clear" w:color="auto" w:fill="F2F2F2"/>
            <w:vAlign w:val="center"/>
          </w:tcPr>
          <w:p w14:paraId="0DE9E87B" w14:textId="77777777" w:rsidR="000842EB" w:rsidRPr="00857EE7" w:rsidRDefault="000842EB" w:rsidP="000842E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Недоступност или ограничена доступност ИКТ система </w:t>
            </w:r>
          </w:p>
        </w:tc>
        <w:tc>
          <w:tcPr>
            <w:tcW w:w="3488" w:type="dxa"/>
          </w:tcPr>
          <w:p w14:paraId="61886AFB" w14:textId="7777777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Напад са циљем онемогућавања или ометања функционисања ИКТ система</w:t>
            </w:r>
          </w:p>
          <w:p w14:paraId="497D1725" w14:textId="62D6E2EB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(енгл. </w:t>
            </w:r>
            <w:r w:rsidRPr="00857E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denial-of-service attack</w:t>
            </w: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– DoS)</w:t>
            </w:r>
          </w:p>
        </w:tc>
        <w:tc>
          <w:tcPr>
            <w:tcW w:w="3486" w:type="dxa"/>
          </w:tcPr>
          <w:p w14:paraId="5EEDB8DC" w14:textId="7777777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42EB" w:rsidRPr="00857EE7" w14:paraId="49A6FFFC" w14:textId="77777777" w:rsidTr="000842EB">
        <w:trPr>
          <w:trHeight w:val="10"/>
          <w:jc w:val="center"/>
        </w:trPr>
        <w:tc>
          <w:tcPr>
            <w:tcW w:w="2231" w:type="dxa"/>
            <w:vMerge/>
            <w:shd w:val="clear" w:color="auto" w:fill="F2F2F2"/>
            <w:vAlign w:val="center"/>
          </w:tcPr>
          <w:p w14:paraId="1DF2BA3B" w14:textId="77777777" w:rsidR="000842EB" w:rsidRPr="00857EE7" w:rsidRDefault="000842EB" w:rsidP="000842E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488" w:type="dxa"/>
          </w:tcPr>
          <w:p w14:paraId="03DF38F0" w14:textId="7777777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Вишеструки </w:t>
            </w:r>
            <w:r w:rsidRPr="00857EE7">
              <w:rPr>
                <w:rFonts w:ascii="Calibri" w:eastAsia="Calibri" w:hAnsi="Calibri" w:cs="Times New Roman"/>
                <w:lang w:val="sr-Cyrl-RS"/>
              </w:rPr>
              <w:t xml:space="preserve"> </w:t>
            </w: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напад са циљем онемогућавања или ометања функционисања ИКТ система</w:t>
            </w:r>
          </w:p>
          <w:p w14:paraId="2597F7F3" w14:textId="544EF9FB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(енгл. </w:t>
            </w:r>
            <w:r w:rsidRPr="00857E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distributed denial-of-service attack</w:t>
            </w: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– DDoS)</w:t>
            </w:r>
          </w:p>
        </w:tc>
        <w:tc>
          <w:tcPr>
            <w:tcW w:w="3486" w:type="dxa"/>
          </w:tcPr>
          <w:p w14:paraId="520FF7EC" w14:textId="7777777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42EB" w:rsidRPr="00857EE7" w14:paraId="79794358" w14:textId="77777777" w:rsidTr="000842EB">
        <w:trPr>
          <w:trHeight w:val="10"/>
          <w:jc w:val="center"/>
        </w:trPr>
        <w:tc>
          <w:tcPr>
            <w:tcW w:w="2231" w:type="dxa"/>
            <w:vMerge/>
            <w:shd w:val="clear" w:color="auto" w:fill="F2F2F2"/>
            <w:vAlign w:val="center"/>
          </w:tcPr>
          <w:p w14:paraId="26B74BED" w14:textId="77777777" w:rsidR="000842EB" w:rsidRPr="00857EE7" w:rsidRDefault="000842EB" w:rsidP="000842E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488" w:type="dxa"/>
          </w:tcPr>
          <w:p w14:paraId="60E893B8" w14:textId="77777777" w:rsidR="00AF3D12" w:rsidRPr="00857EE7" w:rsidRDefault="000842EB" w:rsidP="00AF3D12">
            <w:pPr>
              <w:tabs>
                <w:tab w:val="left" w:pos="1206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Саботажа</w:t>
            </w:r>
          </w:p>
          <w:p w14:paraId="5577E4C4" w14:textId="77777777" w:rsidR="00AF3D12" w:rsidRPr="00857EE7" w:rsidRDefault="00AF3D12" w:rsidP="00AF3D12">
            <w:pPr>
              <w:tabs>
                <w:tab w:val="left" w:pos="1206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86" w:type="dxa"/>
          </w:tcPr>
          <w:p w14:paraId="739014C2" w14:textId="77777777" w:rsidR="000842EB" w:rsidRPr="00857EE7" w:rsidRDefault="000842EB" w:rsidP="000842EB">
            <w:pPr>
              <w:tabs>
                <w:tab w:val="left" w:pos="1206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42EB" w:rsidRPr="00857EE7" w14:paraId="197AB5CE" w14:textId="77777777" w:rsidTr="00AF3D12">
        <w:trPr>
          <w:trHeight w:val="294"/>
          <w:jc w:val="center"/>
        </w:trPr>
        <w:tc>
          <w:tcPr>
            <w:tcW w:w="2231" w:type="dxa"/>
            <w:vMerge/>
            <w:shd w:val="clear" w:color="auto" w:fill="F2F2F2"/>
            <w:vAlign w:val="center"/>
          </w:tcPr>
          <w:p w14:paraId="3C198453" w14:textId="77777777" w:rsidR="000842EB" w:rsidRPr="00857EE7" w:rsidRDefault="000842EB" w:rsidP="000842E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488" w:type="dxa"/>
          </w:tcPr>
          <w:p w14:paraId="39F639A5" w14:textId="7777777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Прекид у функционисању система или дела система</w:t>
            </w:r>
          </w:p>
          <w:p w14:paraId="360E5272" w14:textId="41C96981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(енгл. </w:t>
            </w:r>
            <w:r w:rsidRPr="00857EE7">
              <w:rPr>
                <w:rFonts w:ascii="Calibri" w:eastAsia="Calibri" w:hAnsi="Calibri" w:cs="Times New Roman"/>
                <w:lang w:val="sr-Cyrl-RS"/>
              </w:rPr>
              <w:t xml:space="preserve"> </w:t>
            </w:r>
            <w:r w:rsidRPr="00857E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outage</w:t>
            </w: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486" w:type="dxa"/>
          </w:tcPr>
          <w:p w14:paraId="5E7DC1A5" w14:textId="7777777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42EB" w:rsidRPr="00857EE7" w14:paraId="43B777B4" w14:textId="77777777" w:rsidTr="000842EB">
        <w:trPr>
          <w:trHeight w:val="21"/>
          <w:jc w:val="center"/>
        </w:trPr>
        <w:tc>
          <w:tcPr>
            <w:tcW w:w="2231" w:type="dxa"/>
            <w:vMerge w:val="restart"/>
            <w:shd w:val="clear" w:color="auto" w:fill="F2F2F2"/>
            <w:vAlign w:val="center"/>
          </w:tcPr>
          <w:p w14:paraId="139D51AB" w14:textId="77777777" w:rsidR="000842EB" w:rsidRPr="00857EE7" w:rsidRDefault="000842EB" w:rsidP="000842E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Угрожавање безбедности података</w:t>
            </w:r>
          </w:p>
        </w:tc>
        <w:tc>
          <w:tcPr>
            <w:tcW w:w="3488" w:type="dxa"/>
          </w:tcPr>
          <w:p w14:paraId="1552B895" w14:textId="77777777" w:rsidR="000842EB" w:rsidRPr="00857EE7" w:rsidRDefault="000842EB" w:rsidP="000842EB">
            <w:pPr>
              <w:tabs>
                <w:tab w:val="left" w:pos="1206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Неовлашћен приступ подацима</w:t>
            </w:r>
          </w:p>
        </w:tc>
        <w:tc>
          <w:tcPr>
            <w:tcW w:w="3486" w:type="dxa"/>
          </w:tcPr>
          <w:p w14:paraId="217FED18" w14:textId="77777777" w:rsidR="000842EB" w:rsidRPr="00857EE7" w:rsidRDefault="000842EB" w:rsidP="000842EB">
            <w:pPr>
              <w:tabs>
                <w:tab w:val="left" w:pos="1206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42EB" w:rsidRPr="00857EE7" w14:paraId="0734D6AA" w14:textId="77777777" w:rsidTr="000842EB">
        <w:trPr>
          <w:trHeight w:val="21"/>
          <w:jc w:val="center"/>
        </w:trPr>
        <w:tc>
          <w:tcPr>
            <w:tcW w:w="2231" w:type="dxa"/>
            <w:vMerge/>
            <w:shd w:val="clear" w:color="auto" w:fill="F2F2F2"/>
            <w:vAlign w:val="center"/>
          </w:tcPr>
          <w:p w14:paraId="707800E4" w14:textId="77777777" w:rsidR="000842EB" w:rsidRPr="00857EE7" w:rsidRDefault="000842EB" w:rsidP="000842E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488" w:type="dxa"/>
          </w:tcPr>
          <w:p w14:paraId="46C71620" w14:textId="77777777" w:rsidR="000842EB" w:rsidRPr="00857EE7" w:rsidRDefault="000842EB" w:rsidP="000842EB">
            <w:pPr>
              <w:tabs>
                <w:tab w:val="left" w:pos="1206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Неовлашћена измена података</w:t>
            </w:r>
          </w:p>
        </w:tc>
        <w:tc>
          <w:tcPr>
            <w:tcW w:w="3486" w:type="dxa"/>
          </w:tcPr>
          <w:p w14:paraId="5EA8A7A9" w14:textId="77777777" w:rsidR="000842EB" w:rsidRPr="00857EE7" w:rsidRDefault="000842EB" w:rsidP="000842EB">
            <w:pPr>
              <w:tabs>
                <w:tab w:val="left" w:pos="1206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42EB" w:rsidRPr="00857EE7" w14:paraId="7FC75101" w14:textId="77777777" w:rsidTr="000842EB">
        <w:trPr>
          <w:trHeight w:val="21"/>
          <w:jc w:val="center"/>
        </w:trPr>
        <w:tc>
          <w:tcPr>
            <w:tcW w:w="2231" w:type="dxa"/>
            <w:vMerge/>
            <w:shd w:val="clear" w:color="auto" w:fill="F2F2F2"/>
            <w:vAlign w:val="center"/>
          </w:tcPr>
          <w:p w14:paraId="111BEA30" w14:textId="77777777" w:rsidR="000842EB" w:rsidRPr="00857EE7" w:rsidRDefault="000842EB" w:rsidP="000842E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488" w:type="dxa"/>
          </w:tcPr>
          <w:p w14:paraId="76F3F047" w14:textId="77777777" w:rsidR="000842EB" w:rsidRPr="00857EE7" w:rsidRDefault="000842EB" w:rsidP="000842EB">
            <w:pPr>
              <w:tabs>
                <w:tab w:val="left" w:pos="1206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Криптографски напад</w:t>
            </w:r>
          </w:p>
        </w:tc>
        <w:tc>
          <w:tcPr>
            <w:tcW w:w="3486" w:type="dxa"/>
          </w:tcPr>
          <w:p w14:paraId="0755C085" w14:textId="77777777" w:rsidR="000842EB" w:rsidRPr="00857EE7" w:rsidRDefault="000842EB" w:rsidP="000842EB">
            <w:pPr>
              <w:tabs>
                <w:tab w:val="left" w:pos="1206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42EB" w:rsidRPr="00857EE7" w14:paraId="6124338E" w14:textId="77777777" w:rsidTr="000842EB">
        <w:trPr>
          <w:trHeight w:val="21"/>
          <w:jc w:val="center"/>
        </w:trPr>
        <w:tc>
          <w:tcPr>
            <w:tcW w:w="2231" w:type="dxa"/>
            <w:shd w:val="clear" w:color="auto" w:fill="F2F2F2"/>
            <w:vAlign w:val="center"/>
          </w:tcPr>
          <w:p w14:paraId="1C7B9764" w14:textId="77777777" w:rsidR="000842EB" w:rsidRPr="00857EE7" w:rsidRDefault="000842EB" w:rsidP="000842E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Остали инциденти</w:t>
            </w:r>
          </w:p>
        </w:tc>
        <w:tc>
          <w:tcPr>
            <w:tcW w:w="3488" w:type="dxa"/>
          </w:tcPr>
          <w:p w14:paraId="4C6B8CE7" w14:textId="7777777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57E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Инциденти који не спадају у горе наведене категорије</w:t>
            </w:r>
          </w:p>
        </w:tc>
        <w:tc>
          <w:tcPr>
            <w:tcW w:w="3486" w:type="dxa"/>
          </w:tcPr>
          <w:p w14:paraId="55094EE3" w14:textId="77777777" w:rsidR="000842EB" w:rsidRPr="00857EE7" w:rsidRDefault="000842EB" w:rsidP="000842EB">
            <w:pPr>
              <w:tabs>
                <w:tab w:val="left" w:pos="12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4DAA74D" w14:textId="77777777" w:rsidR="000842EB" w:rsidRPr="00857EE7" w:rsidRDefault="000842EB" w:rsidP="000842EB">
      <w:pPr>
        <w:spacing w:after="200" w:line="276" w:lineRule="auto"/>
        <w:rPr>
          <w:rFonts w:ascii="Calibri" w:eastAsia="Calibri" w:hAnsi="Calibri" w:cs="Times New Roman"/>
          <w:lang w:val="sr-Cyrl-RS"/>
        </w:rPr>
      </w:pPr>
    </w:p>
    <w:p w14:paraId="280E0F19" w14:textId="585F3ADA" w:rsidR="00777F1A" w:rsidRPr="00857EE7" w:rsidRDefault="00E05C9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У Београду, дана _____________                                        </w:t>
      </w:r>
    </w:p>
    <w:p w14:paraId="3E65FAB0" w14:textId="77777777" w:rsidR="00777F1A" w:rsidRPr="00857EE7" w:rsidRDefault="00777F1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4F0C26" w14:textId="77777777" w:rsidR="00777F1A" w:rsidRPr="00857EE7" w:rsidRDefault="00777F1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920252" w14:textId="77777777" w:rsidR="00777F1A" w:rsidRPr="00857EE7" w:rsidRDefault="00777F1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6FC893" w14:textId="77777777" w:rsidR="00777F1A" w:rsidRPr="00857EE7" w:rsidRDefault="00777F1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6E7F80" w14:textId="77777777" w:rsidR="00777F1A" w:rsidRPr="00857EE7" w:rsidRDefault="00777F1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1E3203" w14:textId="77777777" w:rsidR="00777F1A" w:rsidRPr="00857EE7" w:rsidRDefault="00777F1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714EC4" w14:textId="77777777" w:rsidR="00777F1A" w:rsidRPr="00857EE7" w:rsidRDefault="00777F1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E79F74" w14:textId="77777777" w:rsidR="00777F1A" w:rsidRPr="00857EE7" w:rsidRDefault="00777F1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DCEE59" w14:textId="77777777" w:rsidR="00777F1A" w:rsidRPr="00857EE7" w:rsidRDefault="00777F1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B09192" w14:textId="77777777" w:rsidR="00777F1A" w:rsidRPr="00857EE7" w:rsidRDefault="00777F1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CD3B38" w14:textId="77777777" w:rsidR="00777F1A" w:rsidRPr="00857EE7" w:rsidRDefault="00777F1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65C17E" w14:textId="77777777" w:rsidR="00777F1A" w:rsidRPr="00857EE7" w:rsidRDefault="00777F1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BCB2B2" w14:textId="77777777" w:rsidR="00777F1A" w:rsidRPr="00857EE7" w:rsidRDefault="00777F1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205226" w14:textId="77777777" w:rsidR="00777F1A" w:rsidRPr="00857EE7" w:rsidRDefault="00777F1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FC3C78" w14:textId="77777777" w:rsidR="00777F1A" w:rsidRPr="00857EE7" w:rsidRDefault="00777F1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A89810" w14:textId="77777777" w:rsidR="00777F1A" w:rsidRPr="00857EE7" w:rsidRDefault="00777F1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DEA129" w14:textId="77777777" w:rsidR="00777F1A" w:rsidRPr="00857EE7" w:rsidRDefault="00777F1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D98BC4" w14:textId="77777777" w:rsidR="00CD1DB7" w:rsidRPr="00857EE7" w:rsidRDefault="00CD1DB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D3D14B" w14:textId="77777777" w:rsidR="00CD1DB7" w:rsidRPr="00857EE7" w:rsidRDefault="00CD1DB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110416" w14:textId="77777777" w:rsidR="00CD1DB7" w:rsidRPr="00857EE7" w:rsidRDefault="00CD1DB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D691AA" w14:textId="77777777" w:rsidR="00064D8D" w:rsidRPr="00857EE7" w:rsidRDefault="00064D8D" w:rsidP="00777F1A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D9F0026" w14:textId="77777777" w:rsidR="00064D8D" w:rsidRPr="00857EE7" w:rsidRDefault="00064D8D" w:rsidP="00777F1A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17D58008" w14:textId="77777777" w:rsidR="00163F20" w:rsidRPr="00857EE7" w:rsidRDefault="00163F20" w:rsidP="00777F1A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749D7EA8" w14:textId="77777777" w:rsidR="00163F20" w:rsidRPr="00857EE7" w:rsidRDefault="00163F20" w:rsidP="00777F1A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5910E55F" w14:textId="77777777" w:rsidR="00777F1A" w:rsidRPr="00857EE7" w:rsidRDefault="00777F1A" w:rsidP="00777F1A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 б р а з л о ж е њ е</w:t>
      </w:r>
    </w:p>
    <w:p w14:paraId="783C4E8A" w14:textId="77777777" w:rsidR="00777F1A" w:rsidRPr="00857EE7" w:rsidRDefault="00777F1A" w:rsidP="00777F1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C9E0CF4" w14:textId="77777777" w:rsidR="00777F1A" w:rsidRPr="00857EE7" w:rsidRDefault="00777F1A" w:rsidP="00777F1A">
      <w:pPr>
        <w:pStyle w:val="Heading1"/>
        <w:rPr>
          <w:rFonts w:ascii="Times New Roman" w:hAnsi="Times New Roman"/>
          <w:sz w:val="24"/>
          <w:szCs w:val="24"/>
          <w:lang w:val="sr-Cyrl-RS"/>
        </w:rPr>
      </w:pPr>
      <w:r w:rsidRPr="00857EE7">
        <w:rPr>
          <w:rFonts w:ascii="Times New Roman" w:hAnsi="Times New Roman"/>
          <w:sz w:val="24"/>
          <w:szCs w:val="24"/>
          <w:lang w:val="sr-Cyrl-RS"/>
        </w:rPr>
        <w:t xml:space="preserve">      I. </w:t>
      </w:r>
      <w:r w:rsidR="000F7862" w:rsidRPr="00857EE7">
        <w:rPr>
          <w:rFonts w:ascii="Times New Roman" w:hAnsi="Times New Roman"/>
          <w:sz w:val="24"/>
          <w:szCs w:val="24"/>
          <w:lang w:val="sr-Cyrl-RS"/>
        </w:rPr>
        <w:t>Правни основ</w:t>
      </w:r>
    </w:p>
    <w:p w14:paraId="1663BA32" w14:textId="77777777" w:rsidR="00777F1A" w:rsidRPr="00857EE7" w:rsidRDefault="00777F1A" w:rsidP="00777F1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EAC392" w14:textId="77777777" w:rsidR="006B37EF" w:rsidRPr="00857EE7" w:rsidRDefault="000F7862" w:rsidP="00867993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sz w:val="24"/>
          <w:szCs w:val="24"/>
          <w:lang w:val="sr-Cyrl-RS"/>
        </w:rPr>
        <w:t>Правни основ за доношење Правилника о</w:t>
      </w:r>
      <w:r w:rsidR="00164B6D"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37EF" w:rsidRPr="00857EE7">
        <w:rPr>
          <w:rFonts w:ascii="Times New Roman" w:hAnsi="Times New Roman" w:cs="Times New Roman"/>
          <w:sz w:val="24"/>
          <w:szCs w:val="24"/>
          <w:lang w:val="sr-Cyrl-RS"/>
        </w:rPr>
        <w:t>врсти, форми и начину доставља</w:t>
      </w:r>
      <w:r w:rsidR="002B0FC6" w:rsidRPr="00857EE7">
        <w:rPr>
          <w:rFonts w:ascii="Times New Roman" w:hAnsi="Times New Roman" w:cs="Times New Roman"/>
          <w:sz w:val="24"/>
          <w:szCs w:val="24"/>
          <w:lang w:val="sr-Cyrl-RS"/>
        </w:rPr>
        <w:t>ња  статистичких података о</w:t>
      </w:r>
      <w:r w:rsidR="006B37EF"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 инцидентима у информационо-комуникационим системима од посебног значаја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57EE7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Pr="00857EE7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у даљем тексту: Правилник), 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садржан је у одредби </w:t>
      </w:r>
      <w:r w:rsidRPr="00857EE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члана 23. став 1. Закона о електронским комуникацијама („Службени гласник РС“, бр. 44/10, 60</w:t>
      </w:r>
      <w:r w:rsidR="00434E79" w:rsidRPr="00857EE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/13-УС, 62/14 и </w:t>
      </w:r>
      <w:r w:rsidR="00434E79" w:rsidRPr="00857EE7">
        <w:rPr>
          <w:rFonts w:ascii="Times New Roman" w:hAnsi="Times New Roman"/>
          <w:sz w:val="24"/>
          <w:szCs w:val="24"/>
          <w:lang w:val="sr-Cyrl-RS"/>
        </w:rPr>
        <w:t>95/18-др. закон, у даљем тексту: ЗЕК). Одредбом члана 23. став 1. ЗЕК-а прописано је да Управни одбор Регулаторне агенције за електронске комуникац</w:t>
      </w:r>
      <w:r w:rsidR="002B0FC6" w:rsidRPr="00857EE7">
        <w:rPr>
          <w:rFonts w:ascii="Times New Roman" w:hAnsi="Times New Roman"/>
          <w:sz w:val="24"/>
          <w:szCs w:val="24"/>
          <w:lang w:val="sr-Cyrl-RS"/>
        </w:rPr>
        <w:t>ије и поштанске услуге (у даљем тексту: Агенција) доноси правилнике, упутства, одлуке и друга акта којима се на општи начин уређују питања из надле</w:t>
      </w:r>
      <w:r w:rsidR="006B37EF" w:rsidRPr="00857EE7">
        <w:rPr>
          <w:rFonts w:ascii="Times New Roman" w:hAnsi="Times New Roman"/>
          <w:sz w:val="24"/>
          <w:szCs w:val="24"/>
          <w:lang w:val="sr-Cyrl-RS"/>
        </w:rPr>
        <w:t>жности Агенције.</w:t>
      </w:r>
    </w:p>
    <w:p w14:paraId="6B5D5C61" w14:textId="77777777" w:rsidR="00777F1A" w:rsidRPr="00857EE7" w:rsidRDefault="00777F1A" w:rsidP="00777F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7ADD2BF" w14:textId="77777777" w:rsidR="00777F1A" w:rsidRPr="00857EE7" w:rsidRDefault="000F7862" w:rsidP="00777F1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sz w:val="24"/>
          <w:szCs w:val="24"/>
          <w:lang w:val="sr-Cyrl-RS"/>
        </w:rPr>
        <w:t>Одредбом члана 11б. став 3.</w:t>
      </w:r>
      <w:r w:rsidRPr="00857EE7">
        <w:rPr>
          <w:rFonts w:ascii="Times New Roman" w:hAnsi="Times New Roman"/>
          <w:sz w:val="24"/>
          <w:szCs w:val="24"/>
          <w:lang w:val="sr-Cyrl-RS"/>
        </w:rPr>
        <w:t xml:space="preserve"> Закона о информационој безбедности („Службени гласник РС“, бр. 6/16, 94/17 и 77/19, у даљем тексту: Закон) је утврђено да Национални центар за превенцију безбедносних ризика у информационо-комуникационим системима (у даљем тексту: 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>Национални ЦЕРТ)</w:t>
      </w:r>
      <w:r w:rsidRPr="00857EE7">
        <w:rPr>
          <w:rFonts w:ascii="Times New Roman" w:hAnsi="Times New Roman"/>
          <w:sz w:val="24"/>
          <w:szCs w:val="24"/>
          <w:lang w:val="sr-Cyrl-RS"/>
        </w:rPr>
        <w:t xml:space="preserve"> утврђује врсту, форму и начин достављања статистичких података о свим инцидентима у ИКТ систему.</w:t>
      </w:r>
    </w:p>
    <w:p w14:paraId="627ADD99" w14:textId="77777777" w:rsidR="00EB5E52" w:rsidRPr="00857EE7" w:rsidRDefault="00EB5E52" w:rsidP="00777F1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E942C4C" w14:textId="77777777" w:rsidR="00777F1A" w:rsidRPr="00857EE7" w:rsidRDefault="000F7862" w:rsidP="00777F1A">
      <w:pPr>
        <w:pStyle w:val="BodyTextIndent"/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857EE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II. Разлози за доношење Правилника </w:t>
      </w:r>
    </w:p>
    <w:p w14:paraId="357420CC" w14:textId="77777777" w:rsidR="00777F1A" w:rsidRPr="00857EE7" w:rsidRDefault="00777F1A" w:rsidP="00777F1A">
      <w:pPr>
        <w:pStyle w:val="BodyTextIndent"/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431B0CFF" w14:textId="77777777" w:rsidR="009501BF" w:rsidRPr="00857EE7" w:rsidRDefault="006B37EF" w:rsidP="009501B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7EE7">
        <w:rPr>
          <w:rFonts w:ascii="Times New Roman" w:hAnsi="Times New Roman" w:cs="Tahoma"/>
          <w:sz w:val="24"/>
          <w:szCs w:val="24"/>
          <w:lang w:val="sr-Cyrl-RS"/>
        </w:rPr>
        <w:t>Ступањем на снагу Закона</w:t>
      </w:r>
      <w:r w:rsidRPr="00857EE7">
        <w:rPr>
          <w:rFonts w:ascii="Times New Roman" w:hAnsi="Times New Roman"/>
          <w:lang w:val="sr-Cyrl-RS"/>
        </w:rPr>
        <w:t xml:space="preserve"> </w:t>
      </w:r>
      <w:r w:rsidRPr="00857EE7">
        <w:rPr>
          <w:rFonts w:ascii="Times New Roman" w:hAnsi="Times New Roman"/>
          <w:sz w:val="24"/>
          <w:szCs w:val="24"/>
          <w:lang w:val="sr-Cyrl-RS"/>
        </w:rPr>
        <w:t>о изменама и допунама</w:t>
      </w:r>
      <w:r w:rsidRPr="00857EE7">
        <w:rPr>
          <w:rFonts w:ascii="Times New Roman" w:hAnsi="Times New Roman"/>
          <w:lang w:val="sr-Cyrl-RS"/>
        </w:rPr>
        <w:t xml:space="preserve"> </w:t>
      </w:r>
      <w:r w:rsidRPr="00857EE7">
        <w:rPr>
          <w:rFonts w:ascii="Times New Roman" w:hAnsi="Times New Roman"/>
          <w:sz w:val="24"/>
          <w:szCs w:val="24"/>
          <w:lang w:val="sr-Cyrl-RS"/>
        </w:rPr>
        <w:t>Закона о информационој безбедности („Службени гласник РС, број 77/19)</w:t>
      </w:r>
      <w:r w:rsidRPr="00857EE7">
        <w:rPr>
          <w:rFonts w:ascii="Times New Roman" w:hAnsi="Times New Roman" w:cs="Tahoma"/>
          <w:sz w:val="24"/>
          <w:szCs w:val="24"/>
          <w:lang w:val="sr-Cyrl-RS"/>
        </w:rPr>
        <w:t xml:space="preserve"> установљен</w:t>
      </w:r>
      <w:r w:rsidRPr="00857EE7">
        <w:rPr>
          <w:rFonts w:ascii="Times New Roman" w:hAnsi="Times New Roman"/>
          <w:lang w:val="sr-Cyrl-RS"/>
        </w:rPr>
        <w:t>о</w:t>
      </w:r>
      <w:r w:rsidRPr="00857EE7">
        <w:rPr>
          <w:rFonts w:ascii="Times New Roman" w:hAnsi="Times New Roman" w:cs="Tahoma"/>
          <w:sz w:val="24"/>
          <w:szCs w:val="24"/>
          <w:lang w:val="sr-Cyrl-RS"/>
        </w:rPr>
        <w:t xml:space="preserve"> је о</w:t>
      </w:r>
      <w:r w:rsidRPr="00857EE7">
        <w:rPr>
          <w:rFonts w:ascii="Times New Roman" w:hAnsi="Times New Roman"/>
          <w:sz w:val="24"/>
          <w:szCs w:val="24"/>
          <w:lang w:val="sr-Cyrl-RS"/>
        </w:rPr>
        <w:t>влашћење Националног ЦЕРТ-а, односно Агенције,</w:t>
      </w:r>
      <w:r w:rsidRPr="00857EE7">
        <w:rPr>
          <w:rFonts w:ascii="Times New Roman" w:hAnsi="Times New Roman" w:cs="Tahoma"/>
          <w:sz w:val="24"/>
          <w:szCs w:val="24"/>
          <w:lang w:val="sr-Cyrl-RS"/>
        </w:rPr>
        <w:t xml:space="preserve"> да  донесе подзаконски акт којим ће прописати </w:t>
      </w:r>
      <w:r w:rsidR="000F7862" w:rsidRPr="00857EE7">
        <w:rPr>
          <w:rFonts w:ascii="Times New Roman" w:hAnsi="Times New Roman"/>
          <w:sz w:val="24"/>
          <w:szCs w:val="24"/>
          <w:lang w:val="sr-Cyrl-RS"/>
        </w:rPr>
        <w:t>врсту, форму и начин достављања статистичких података о свим инцидентима у ИКТ систему.</w:t>
      </w:r>
    </w:p>
    <w:p w14:paraId="7FCE7923" w14:textId="77777777" w:rsidR="00777F1A" w:rsidRPr="00857EE7" w:rsidRDefault="00777F1A" w:rsidP="00777F1A">
      <w:pPr>
        <w:pStyle w:val="Default"/>
        <w:ind w:firstLine="720"/>
        <w:jc w:val="both"/>
        <w:rPr>
          <w:rFonts w:ascii="Times New Roman" w:hAnsi="Times New Roman"/>
          <w:b/>
          <w:bCs/>
          <w:lang w:val="sr-Cyrl-RS"/>
        </w:rPr>
      </w:pPr>
    </w:p>
    <w:p w14:paraId="2F0A2023" w14:textId="77777777" w:rsidR="00777F1A" w:rsidRPr="00857EE7" w:rsidRDefault="00777F1A" w:rsidP="00777F1A">
      <w:pPr>
        <w:spacing w:before="4" w:line="243" w:lineRule="auto"/>
        <w:ind w:right="193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7FB243" w14:textId="77777777" w:rsidR="00777F1A" w:rsidRPr="00857EE7" w:rsidRDefault="000F7862" w:rsidP="00777F1A">
      <w:pPr>
        <w:shd w:val="clear" w:color="auto" w:fill="FFFFFF"/>
        <w:tabs>
          <w:tab w:val="left" w:pos="0"/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III. Објашњење појединих решења</w:t>
      </w:r>
    </w:p>
    <w:p w14:paraId="67E67C1E" w14:textId="5861AA4A" w:rsidR="00777F1A" w:rsidRPr="00857EE7" w:rsidRDefault="00901A41" w:rsidP="00777F1A">
      <w:pPr>
        <w:shd w:val="clear" w:color="auto" w:fill="FFFFFF"/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bCs/>
          <w:sz w:val="24"/>
          <w:szCs w:val="24"/>
          <w:lang w:val="sr-Cyrl-RS"/>
        </w:rPr>
        <w:t>Прикупљање статистичких података о свим инцидентима у ИКТ системима од посебног значаја има за циљ утврђивање стања информационе безбедности</w:t>
      </w:r>
      <w:r w:rsidR="00AD0588" w:rsidRPr="00857EE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 националном нивоу. </w:t>
      </w:r>
      <w:r w:rsidR="0080399D" w:rsidRPr="00857EE7">
        <w:rPr>
          <w:rFonts w:ascii="Times New Roman" w:hAnsi="Times New Roman" w:cs="Times New Roman"/>
          <w:sz w:val="24"/>
          <w:szCs w:val="24"/>
          <w:lang w:val="sr-Cyrl-RS"/>
        </w:rPr>
        <w:t>Национални ЦЕРТ ће на овај начин добити и податке о ризицима/догађајима/и свим инцидентима, не само о инцидентима који могу да имају значајан утицај на нарушавање информационе безбедности, на националном нивоу.</w:t>
      </w:r>
      <w:r w:rsidR="0080399D" w:rsidRPr="00857EE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Наиме, оператор ИКТ система од посебног значаја дужан је да, поред обавештавања о инцидентима, достави Националном ЦЕРТ-у статистичке податке о свим инцидентима у ИКТ систему у претходној години најкасније до 28. фебруара текуће године. </w:t>
      </w:r>
    </w:p>
    <w:p w14:paraId="3CD811EC" w14:textId="019D56B6" w:rsidR="00AD0588" w:rsidRPr="00857EE7" w:rsidRDefault="00AD0588" w:rsidP="00777F1A">
      <w:pPr>
        <w:shd w:val="clear" w:color="auto" w:fill="FFFFFF"/>
        <w:tabs>
          <w:tab w:val="left" w:pos="0"/>
          <w:tab w:val="left" w:pos="360"/>
        </w:tabs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Чланом 2. Правилника прописана је врста статистичких података, а кроз утврђивање јединственог обрасца који садржи податке о оператору ИКТ система од посебног значаја и о  инцидентима, односно врсти и броју инцидената. </w:t>
      </w:r>
    </w:p>
    <w:p w14:paraId="70E6C8AD" w14:textId="6C521F4D" w:rsidR="00AD0588" w:rsidRPr="00857EE7" w:rsidRDefault="00AD0588" w:rsidP="00777F1A">
      <w:pPr>
        <w:shd w:val="clear" w:color="auto" w:fill="FFFFFF"/>
        <w:tabs>
          <w:tab w:val="left" w:pos="0"/>
          <w:tab w:val="left" w:pos="360"/>
        </w:tabs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Чланом 3. Правилника </w:t>
      </w:r>
      <w:r w:rsidR="00031048" w:rsidRPr="00857EE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утврђена је форма и начин достављања статистичких података, те предвиђено достављање електронским путем на интернет страници Националног ЦЕРТ-а. </w:t>
      </w:r>
    </w:p>
    <w:p w14:paraId="2587B0A1" w14:textId="3A012E6E" w:rsidR="00031048" w:rsidRPr="00857EE7" w:rsidRDefault="00031048" w:rsidP="00777F1A">
      <w:pPr>
        <w:shd w:val="clear" w:color="auto" w:fill="FFFFFF"/>
        <w:tabs>
          <w:tab w:val="left" w:pos="0"/>
          <w:tab w:val="left" w:pos="360"/>
        </w:tabs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 xml:space="preserve">Одредбе члана 4. Правилника односе се на поступак обједињавања статистичких података, односно на поступање и руковање овим подацима, и утврђен рок за објављивање Годишњег извештаја. </w:t>
      </w:r>
    </w:p>
    <w:p w14:paraId="5A5F0DD2" w14:textId="4155547A" w:rsidR="00031048" w:rsidRPr="00857EE7" w:rsidRDefault="00031048" w:rsidP="00777F1A">
      <w:pPr>
        <w:shd w:val="clear" w:color="auto" w:fill="FFFFFF"/>
        <w:tabs>
          <w:tab w:val="left" w:pos="0"/>
          <w:tab w:val="left" w:pos="360"/>
        </w:tabs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Начин објављивања дела </w:t>
      </w:r>
      <w:r w:rsidR="00B644CB" w:rsidRPr="00857EE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Извештаја о </w:t>
      </w:r>
      <w:r w:rsidRPr="00857EE7">
        <w:rPr>
          <w:rFonts w:ascii="Times New Roman" w:hAnsi="Times New Roman" w:cs="Times New Roman"/>
          <w:bCs/>
          <w:sz w:val="24"/>
          <w:szCs w:val="24"/>
          <w:lang w:val="sr-Cyrl-RS"/>
        </w:rPr>
        <w:t>статистички</w:t>
      </w:r>
      <w:r w:rsidR="00B644CB" w:rsidRPr="00857EE7">
        <w:rPr>
          <w:rFonts w:ascii="Times New Roman" w:hAnsi="Times New Roman" w:cs="Times New Roman"/>
          <w:bCs/>
          <w:sz w:val="24"/>
          <w:szCs w:val="24"/>
          <w:lang w:val="sr-Cyrl-RS"/>
        </w:rPr>
        <w:t>м</w:t>
      </w:r>
      <w:r w:rsidRPr="00857EE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подата</w:t>
      </w:r>
      <w:r w:rsidR="00B644CB" w:rsidRPr="00857EE7">
        <w:rPr>
          <w:rFonts w:ascii="Times New Roman" w:hAnsi="Times New Roman" w:cs="Times New Roman"/>
          <w:bCs/>
          <w:sz w:val="24"/>
          <w:szCs w:val="24"/>
          <w:lang w:val="sr-Cyrl-RS"/>
        </w:rPr>
        <w:t>цима, који достављају оператори ИКТ система од посебног значаја,</w:t>
      </w:r>
      <w:r w:rsidRPr="00857EE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регулисан је чланом 5. Правилника, те утврђено да се појединачни делови </w:t>
      </w:r>
      <w:r w:rsidR="00B644CB" w:rsidRPr="00857EE7">
        <w:rPr>
          <w:rFonts w:ascii="Times New Roman" w:hAnsi="Times New Roman" w:cs="Times New Roman"/>
          <w:bCs/>
          <w:sz w:val="24"/>
          <w:szCs w:val="24"/>
          <w:lang w:val="sr-Cyrl-RS"/>
        </w:rPr>
        <w:t>Извештаја</w:t>
      </w:r>
      <w:r w:rsidRPr="00857EE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не могу објавити без сагласности оператора ИКТ система од посебног значаја. </w:t>
      </w:r>
    </w:p>
    <w:p w14:paraId="10348B8E" w14:textId="35CEC4B5" w:rsidR="00777F1A" w:rsidRPr="00857EE7" w:rsidRDefault="00B644CB" w:rsidP="00867993">
      <w:pPr>
        <w:shd w:val="clear" w:color="auto" w:fill="FFFFFF"/>
        <w:tabs>
          <w:tab w:val="left" w:pos="360"/>
          <w:tab w:val="left" w:pos="709"/>
        </w:tabs>
        <w:spacing w:after="283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Чланом 6. Правилника предвиђено је да статистички подаци достављени након законом предвиђеног рока неће бити уврштени у Годишњи извештај Националног ЦЕРТ-а. </w:t>
      </w:r>
    </w:p>
    <w:p w14:paraId="4ADA7557" w14:textId="77777777" w:rsidR="00777F1A" w:rsidRPr="00857EE7" w:rsidRDefault="000F7862" w:rsidP="00777F1A">
      <w:pPr>
        <w:shd w:val="clear" w:color="auto" w:fill="FFFFFF"/>
        <w:tabs>
          <w:tab w:val="left" w:pos="360"/>
          <w:tab w:val="left" w:pos="709"/>
        </w:tabs>
        <w:spacing w:after="283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IV. Предлог даљих активности</w:t>
      </w:r>
    </w:p>
    <w:p w14:paraId="39D471A2" w14:textId="77777777" w:rsidR="00777F1A" w:rsidRPr="00857EE7" w:rsidRDefault="000F7862" w:rsidP="00777F1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ab/>
        <w:t>Предлаже се да Управни одбор Агенције размотри и усвоји Нацрт правилника</w:t>
      </w:r>
      <w:r w:rsidRPr="00857EE7">
        <w:rPr>
          <w:rFonts w:ascii="Times New Roman" w:hAnsi="Times New Roman" w:cs="Times New Roman"/>
          <w:sz w:val="24"/>
          <w:szCs w:val="24"/>
          <w:lang w:val="sr-Cyrl-RS" w:eastAsia="ar-SA"/>
        </w:rPr>
        <w:t>, као и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 да исти, након тога, Агенција у складу са одредбама  </w:t>
      </w:r>
      <w:r w:rsidRPr="00857EE7">
        <w:rPr>
          <w:rFonts w:ascii="Times New Roman" w:hAnsi="Times New Roman" w:cs="Times New Roman"/>
          <w:bCs/>
          <w:sz w:val="24"/>
          <w:szCs w:val="24"/>
          <w:lang w:val="sr-Cyrl-RS"/>
        </w:rPr>
        <w:t>чл. 34-36. Закона,  упути на јавне консултације у трајању од 10 радних дана.</w:t>
      </w:r>
    </w:p>
    <w:p w14:paraId="26182454" w14:textId="585D15D7" w:rsidR="00777F1A" w:rsidRPr="00857EE7" w:rsidRDefault="00777F1A" w:rsidP="00777F1A">
      <w:pPr>
        <w:pStyle w:val="Heading2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F7862"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7862" w:rsidRPr="00857EE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Након спроведених јавних консултација, извршиће се обрада приспелих примедаба, предлога и сугестија и Управном одбору Агенције ће се доставити одговарајући Предлог правилника. По његовом усвајању, сагласно члану 23. став 2. З</w:t>
      </w:r>
      <w:r w:rsidR="00903FBD" w:rsidRPr="00857EE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ЕК-а</w:t>
      </w:r>
      <w:r w:rsidR="000F7862" w:rsidRPr="00857EE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и члану 57. Закона о државној управи („Службени гласник РС“, бр. 79/05, 101/07, 95/10, 47/18, 99/14, 30/18-др.закон и 47/18), овај општи акт се упућује ресорном министарству, на даљу надлежност, ради прибављања мишљења о његовој уставности и законитости. По добијеном мишљењу ресорног министарства, предметни правилник се објављује у „Службеном гласнику Републике Србије“.</w:t>
      </w:r>
    </w:p>
    <w:p w14:paraId="07366124" w14:textId="77777777" w:rsidR="00777F1A" w:rsidRPr="00857EE7" w:rsidRDefault="00777F1A" w:rsidP="00777F1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396583" w14:textId="77777777" w:rsidR="00777F1A" w:rsidRPr="00857EE7" w:rsidRDefault="000F7862" w:rsidP="00777F1A">
      <w:pPr>
        <w:shd w:val="clear" w:color="auto" w:fill="FFFFFF"/>
        <w:tabs>
          <w:tab w:val="left" w:pos="0"/>
          <w:tab w:val="left" w:pos="360"/>
        </w:tabs>
        <w:spacing w:after="283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V. Средства за спровођење Правилника </w:t>
      </w:r>
    </w:p>
    <w:p w14:paraId="50F83EB6" w14:textId="77777777" w:rsidR="00777F1A" w:rsidRPr="00857EE7" w:rsidRDefault="000F7862" w:rsidP="00777F1A">
      <w:pPr>
        <w:shd w:val="clear" w:color="auto" w:fill="FFFFFF"/>
        <w:tabs>
          <w:tab w:val="left" w:pos="0"/>
          <w:tab w:val="left" w:pos="360"/>
        </w:tabs>
        <w:spacing w:after="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57EE7">
        <w:rPr>
          <w:rFonts w:ascii="Times New Roman" w:hAnsi="Times New Roman" w:cs="Times New Roman"/>
          <w:bCs/>
          <w:sz w:val="24"/>
          <w:szCs w:val="24"/>
          <w:lang w:val="sr-Cyrl-RS"/>
        </w:rPr>
        <w:t>За спровођење овог правилника није потребно обезбедити посебна средства предвиђена финансијским планом Агенције.</w:t>
      </w:r>
      <w:r w:rsidRPr="00857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E8AAA13" w14:textId="77777777" w:rsidR="00777F1A" w:rsidRPr="00857EE7" w:rsidRDefault="00777F1A" w:rsidP="00777F1A">
      <w:pPr>
        <w:shd w:val="clear" w:color="auto" w:fill="FFFFFF"/>
        <w:tabs>
          <w:tab w:val="left" w:pos="0"/>
          <w:tab w:val="left" w:pos="360"/>
        </w:tabs>
        <w:spacing w:after="283"/>
        <w:ind w:firstLine="357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08AB9291" w14:textId="77777777" w:rsidR="00777F1A" w:rsidRPr="00857EE7" w:rsidRDefault="00777F1A" w:rsidP="00777F1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227B39" w14:textId="77777777" w:rsidR="00777F1A" w:rsidRPr="00857EE7" w:rsidRDefault="00777F1A" w:rsidP="00777F1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DE1C89" w14:textId="77777777" w:rsidR="00777F1A" w:rsidRPr="00857EE7" w:rsidRDefault="00777F1A" w:rsidP="00777F1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F9A403" w14:textId="77777777" w:rsidR="00777F1A" w:rsidRPr="00857EE7" w:rsidRDefault="00777F1A" w:rsidP="00777F1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15E4D3" w14:textId="77777777" w:rsidR="00777F1A" w:rsidRPr="00857EE7" w:rsidRDefault="00777F1A" w:rsidP="00777F1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F85568" w14:textId="77777777" w:rsidR="00777F1A" w:rsidRPr="00857EE7" w:rsidRDefault="00777F1A" w:rsidP="00777F1A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8F1600F" w14:textId="77777777" w:rsidR="00777F1A" w:rsidRPr="00857EE7" w:rsidRDefault="00777F1A" w:rsidP="00777F1A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EFEDADD" w14:textId="77777777" w:rsidR="00777F1A" w:rsidRPr="00857EE7" w:rsidRDefault="00777F1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77F1A" w:rsidRPr="00857EE7" w:rsidSect="002F43F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F92BA" w14:textId="77777777" w:rsidR="00EB3FDE" w:rsidRDefault="00EB3FDE" w:rsidP="000F3C7D">
      <w:pPr>
        <w:spacing w:after="0" w:line="240" w:lineRule="auto"/>
      </w:pPr>
      <w:r>
        <w:separator/>
      </w:r>
    </w:p>
  </w:endnote>
  <w:endnote w:type="continuationSeparator" w:id="0">
    <w:p w14:paraId="07503626" w14:textId="77777777" w:rsidR="00EB3FDE" w:rsidRDefault="00EB3FDE" w:rsidP="000F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5F600" w14:textId="77777777" w:rsidR="00EB3FDE" w:rsidRDefault="00EB3FDE" w:rsidP="000F3C7D">
      <w:pPr>
        <w:spacing w:after="0" w:line="240" w:lineRule="auto"/>
      </w:pPr>
      <w:r>
        <w:separator/>
      </w:r>
    </w:p>
  </w:footnote>
  <w:footnote w:type="continuationSeparator" w:id="0">
    <w:p w14:paraId="0E0956BE" w14:textId="77777777" w:rsidR="00EB3FDE" w:rsidRDefault="00EB3FDE" w:rsidP="000F3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669F"/>
    <w:multiLevelType w:val="hybridMultilevel"/>
    <w:tmpl w:val="0D223A44"/>
    <w:lvl w:ilvl="0" w:tplc="B7387DD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3062F"/>
    <w:multiLevelType w:val="hybridMultilevel"/>
    <w:tmpl w:val="B6C40F6C"/>
    <w:lvl w:ilvl="0" w:tplc="0C7AFF2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205F1"/>
    <w:multiLevelType w:val="hybridMultilevel"/>
    <w:tmpl w:val="DD86DFD8"/>
    <w:lvl w:ilvl="0" w:tplc="270AF1A8">
      <w:start w:val="1"/>
      <w:numFmt w:val="decimal"/>
      <w:lvlText w:val="%1)"/>
      <w:lvlJc w:val="left"/>
      <w:pPr>
        <w:ind w:left="927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7580F"/>
    <w:multiLevelType w:val="hybridMultilevel"/>
    <w:tmpl w:val="1034FF22"/>
    <w:lvl w:ilvl="0" w:tplc="429264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A1093"/>
    <w:multiLevelType w:val="hybridMultilevel"/>
    <w:tmpl w:val="08BE99E4"/>
    <w:lvl w:ilvl="0" w:tplc="AA38A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5F7AF5"/>
    <w:multiLevelType w:val="hybridMultilevel"/>
    <w:tmpl w:val="0D223A44"/>
    <w:lvl w:ilvl="0" w:tplc="B7387DD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B2963"/>
    <w:multiLevelType w:val="hybridMultilevel"/>
    <w:tmpl w:val="094849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82371"/>
    <w:multiLevelType w:val="hybridMultilevel"/>
    <w:tmpl w:val="C1988A8C"/>
    <w:lvl w:ilvl="0" w:tplc="16ECE278">
      <w:start w:val="5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EAF3BA5"/>
    <w:multiLevelType w:val="hybridMultilevel"/>
    <w:tmpl w:val="ED1CD98C"/>
    <w:lvl w:ilvl="0" w:tplc="184EC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C369CA"/>
    <w:multiLevelType w:val="hybridMultilevel"/>
    <w:tmpl w:val="0D223A44"/>
    <w:lvl w:ilvl="0" w:tplc="B7387DD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B682E"/>
    <w:multiLevelType w:val="hybridMultilevel"/>
    <w:tmpl w:val="3334D7B0"/>
    <w:lvl w:ilvl="0" w:tplc="588681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B16256"/>
    <w:multiLevelType w:val="hybridMultilevel"/>
    <w:tmpl w:val="B0AAFEA4"/>
    <w:lvl w:ilvl="0" w:tplc="B7387DD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 w:numId="11">
    <w:abstractNumId w:val="7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02"/>
    <w:rsid w:val="00013722"/>
    <w:rsid w:val="00020D18"/>
    <w:rsid w:val="00031048"/>
    <w:rsid w:val="000327D6"/>
    <w:rsid w:val="00037473"/>
    <w:rsid w:val="00064809"/>
    <w:rsid w:val="00064D8D"/>
    <w:rsid w:val="000842EB"/>
    <w:rsid w:val="000967CD"/>
    <w:rsid w:val="000A1AF9"/>
    <w:rsid w:val="000A505E"/>
    <w:rsid w:val="000B6829"/>
    <w:rsid w:val="000C387F"/>
    <w:rsid w:val="000F1CD0"/>
    <w:rsid w:val="000F3C7D"/>
    <w:rsid w:val="000F52DF"/>
    <w:rsid w:val="000F7862"/>
    <w:rsid w:val="00106561"/>
    <w:rsid w:val="00111937"/>
    <w:rsid w:val="00117F98"/>
    <w:rsid w:val="00125308"/>
    <w:rsid w:val="00147261"/>
    <w:rsid w:val="001500F7"/>
    <w:rsid w:val="00163F20"/>
    <w:rsid w:val="00164B6D"/>
    <w:rsid w:val="00187021"/>
    <w:rsid w:val="00196785"/>
    <w:rsid w:val="001A4C7F"/>
    <w:rsid w:val="001B64C0"/>
    <w:rsid w:val="001D51F4"/>
    <w:rsid w:val="001D7E7C"/>
    <w:rsid w:val="002148C3"/>
    <w:rsid w:val="00220912"/>
    <w:rsid w:val="00243A28"/>
    <w:rsid w:val="00254902"/>
    <w:rsid w:val="002830BE"/>
    <w:rsid w:val="00295EC0"/>
    <w:rsid w:val="002B0FC6"/>
    <w:rsid w:val="002D6001"/>
    <w:rsid w:val="002D6063"/>
    <w:rsid w:val="002F43FE"/>
    <w:rsid w:val="003279E0"/>
    <w:rsid w:val="00334D24"/>
    <w:rsid w:val="00346BCD"/>
    <w:rsid w:val="0036406C"/>
    <w:rsid w:val="003677FB"/>
    <w:rsid w:val="003A43DF"/>
    <w:rsid w:val="003E5BE0"/>
    <w:rsid w:val="003E7FB2"/>
    <w:rsid w:val="004000F3"/>
    <w:rsid w:val="00415602"/>
    <w:rsid w:val="00430193"/>
    <w:rsid w:val="00430C3F"/>
    <w:rsid w:val="00434E79"/>
    <w:rsid w:val="004409BF"/>
    <w:rsid w:val="0045157E"/>
    <w:rsid w:val="00452FCA"/>
    <w:rsid w:val="0046301B"/>
    <w:rsid w:val="004775D4"/>
    <w:rsid w:val="00484505"/>
    <w:rsid w:val="004B7CB3"/>
    <w:rsid w:val="0051014B"/>
    <w:rsid w:val="00525C34"/>
    <w:rsid w:val="005372F2"/>
    <w:rsid w:val="00540115"/>
    <w:rsid w:val="005473F4"/>
    <w:rsid w:val="00552A0C"/>
    <w:rsid w:val="0056192D"/>
    <w:rsid w:val="005626DE"/>
    <w:rsid w:val="0059054B"/>
    <w:rsid w:val="005A0CB2"/>
    <w:rsid w:val="005B3EA3"/>
    <w:rsid w:val="005F33DB"/>
    <w:rsid w:val="006001A3"/>
    <w:rsid w:val="006144F7"/>
    <w:rsid w:val="006327CE"/>
    <w:rsid w:val="00636321"/>
    <w:rsid w:val="006461D6"/>
    <w:rsid w:val="00663C9B"/>
    <w:rsid w:val="00666852"/>
    <w:rsid w:val="006864A1"/>
    <w:rsid w:val="006B21BF"/>
    <w:rsid w:val="006B37EF"/>
    <w:rsid w:val="006C4E47"/>
    <w:rsid w:val="006D23E8"/>
    <w:rsid w:val="006E74CD"/>
    <w:rsid w:val="00716A10"/>
    <w:rsid w:val="00721424"/>
    <w:rsid w:val="00723018"/>
    <w:rsid w:val="007412EC"/>
    <w:rsid w:val="00773B41"/>
    <w:rsid w:val="00777F1A"/>
    <w:rsid w:val="00782D56"/>
    <w:rsid w:val="007B74B2"/>
    <w:rsid w:val="007C0309"/>
    <w:rsid w:val="007D138E"/>
    <w:rsid w:val="007E6F43"/>
    <w:rsid w:val="0080399D"/>
    <w:rsid w:val="0083361F"/>
    <w:rsid w:val="0084010D"/>
    <w:rsid w:val="00846F8E"/>
    <w:rsid w:val="0085227D"/>
    <w:rsid w:val="00852DFF"/>
    <w:rsid w:val="00857EE7"/>
    <w:rsid w:val="00863090"/>
    <w:rsid w:val="00867993"/>
    <w:rsid w:val="00875706"/>
    <w:rsid w:val="00882B9E"/>
    <w:rsid w:val="00890DA6"/>
    <w:rsid w:val="00896325"/>
    <w:rsid w:val="008A3BEC"/>
    <w:rsid w:val="008A3C8B"/>
    <w:rsid w:val="008F5195"/>
    <w:rsid w:val="00901A41"/>
    <w:rsid w:val="00903FBD"/>
    <w:rsid w:val="00921A65"/>
    <w:rsid w:val="0092413A"/>
    <w:rsid w:val="00926E43"/>
    <w:rsid w:val="0093010A"/>
    <w:rsid w:val="009501BF"/>
    <w:rsid w:val="00981A48"/>
    <w:rsid w:val="009C6C61"/>
    <w:rsid w:val="009C7BC7"/>
    <w:rsid w:val="009D39DA"/>
    <w:rsid w:val="009E78A4"/>
    <w:rsid w:val="00A13A14"/>
    <w:rsid w:val="00A4563A"/>
    <w:rsid w:val="00A84359"/>
    <w:rsid w:val="00AA332B"/>
    <w:rsid w:val="00AC1A98"/>
    <w:rsid w:val="00AD0588"/>
    <w:rsid w:val="00AF166A"/>
    <w:rsid w:val="00AF3D12"/>
    <w:rsid w:val="00AF4CAB"/>
    <w:rsid w:val="00B45FB4"/>
    <w:rsid w:val="00B4642D"/>
    <w:rsid w:val="00B644CB"/>
    <w:rsid w:val="00BD6131"/>
    <w:rsid w:val="00BE212C"/>
    <w:rsid w:val="00C05067"/>
    <w:rsid w:val="00C10942"/>
    <w:rsid w:val="00C33108"/>
    <w:rsid w:val="00C35ACC"/>
    <w:rsid w:val="00C44338"/>
    <w:rsid w:val="00C4467B"/>
    <w:rsid w:val="00C47FE7"/>
    <w:rsid w:val="00C50CBA"/>
    <w:rsid w:val="00C65424"/>
    <w:rsid w:val="00C70DBD"/>
    <w:rsid w:val="00C7699F"/>
    <w:rsid w:val="00C91F22"/>
    <w:rsid w:val="00CD1DB7"/>
    <w:rsid w:val="00D26575"/>
    <w:rsid w:val="00D307CB"/>
    <w:rsid w:val="00D30BB9"/>
    <w:rsid w:val="00D34195"/>
    <w:rsid w:val="00D363AD"/>
    <w:rsid w:val="00D70261"/>
    <w:rsid w:val="00D736A5"/>
    <w:rsid w:val="00D82D22"/>
    <w:rsid w:val="00DC5455"/>
    <w:rsid w:val="00E05C9E"/>
    <w:rsid w:val="00E239BE"/>
    <w:rsid w:val="00E55B62"/>
    <w:rsid w:val="00E56BAC"/>
    <w:rsid w:val="00E62BE4"/>
    <w:rsid w:val="00E72489"/>
    <w:rsid w:val="00EB3FDE"/>
    <w:rsid w:val="00EB5E52"/>
    <w:rsid w:val="00EC5717"/>
    <w:rsid w:val="00F131CC"/>
    <w:rsid w:val="00F17CF9"/>
    <w:rsid w:val="00F2236B"/>
    <w:rsid w:val="00F36029"/>
    <w:rsid w:val="00F62F35"/>
    <w:rsid w:val="00F92139"/>
    <w:rsid w:val="00FD694E"/>
    <w:rsid w:val="00FE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9D38"/>
  <w15:docId w15:val="{97D1DE0B-BB59-48EA-94BF-6EFAB3A7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3FE"/>
  </w:style>
  <w:style w:type="paragraph" w:styleId="Heading1">
    <w:name w:val="heading 1"/>
    <w:basedOn w:val="Normal"/>
    <w:next w:val="Normal"/>
    <w:link w:val="Heading1Char"/>
    <w:uiPriority w:val="9"/>
    <w:qFormat/>
    <w:rsid w:val="00777F1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F1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3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C7D"/>
  </w:style>
  <w:style w:type="paragraph" w:styleId="Footer">
    <w:name w:val="footer"/>
    <w:basedOn w:val="Normal"/>
    <w:link w:val="FooterChar"/>
    <w:uiPriority w:val="99"/>
    <w:unhideWhenUsed/>
    <w:rsid w:val="000F3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C7D"/>
  </w:style>
  <w:style w:type="paragraph" w:styleId="BalloonText">
    <w:name w:val="Balloon Text"/>
    <w:basedOn w:val="Normal"/>
    <w:link w:val="BalloonTextChar"/>
    <w:uiPriority w:val="99"/>
    <w:semiHidden/>
    <w:unhideWhenUsed/>
    <w:rsid w:val="00833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61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20D18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020D18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F3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3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3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3D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77F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7F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7F1A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7F1A"/>
    <w:rPr>
      <w:rFonts w:ascii="Calibri" w:eastAsia="Calibri" w:hAnsi="Calibri" w:cs="Times New Roman"/>
    </w:rPr>
  </w:style>
  <w:style w:type="paragraph" w:customStyle="1" w:styleId="Default">
    <w:name w:val="Default"/>
    <w:rsid w:val="00777F1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8757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1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ACAE0-4695-47BB-B0CA-037756EE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Lakusic</dc:creator>
  <cp:keywords/>
  <dc:description/>
  <cp:lastModifiedBy>Maja Lakusic</cp:lastModifiedBy>
  <cp:revision>4</cp:revision>
  <cp:lastPrinted>2019-12-19T08:58:00Z</cp:lastPrinted>
  <dcterms:created xsi:type="dcterms:W3CDTF">2019-12-20T07:40:00Z</dcterms:created>
  <dcterms:modified xsi:type="dcterms:W3CDTF">2019-12-30T12:57:00Z</dcterms:modified>
</cp:coreProperties>
</file>